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596C" w:rsidRPr="004F6786" w:rsidRDefault="00C7596C" w:rsidP="00C7596C">
      <w:pPr>
        <w:keepNext/>
        <w:pBdr>
          <w:top w:val="nil"/>
          <w:left w:val="nil"/>
          <w:bottom w:val="nil"/>
          <w:right w:val="nil"/>
          <w:between w:val="nil"/>
        </w:pBdr>
        <w:spacing w:before="240" w:after="120" w:line="240" w:lineRule="auto"/>
        <w:rPr>
          <w:color w:val="000000"/>
          <w:lang w:val="en-GB"/>
        </w:rPr>
      </w:pPr>
      <w:bookmarkStart w:id="0" w:name="_Ref104971764"/>
      <w:bookmarkStart w:id="1" w:name="_Toc87623092"/>
      <w:bookmarkStart w:id="2" w:name="_Toc147489086"/>
      <w:bookmarkStart w:id="3" w:name="_Toc87553793"/>
      <w:r w:rsidRPr="002F2F42">
        <w:rPr>
          <w:b/>
          <w:bCs/>
        </w:rPr>
        <w:t>Table 5.</w:t>
      </w:r>
      <w:r w:rsidRPr="002F2F42">
        <w:rPr>
          <w:b/>
          <w:bCs/>
        </w:rPr>
        <w:fldChar w:fldCharType="begin"/>
      </w:r>
      <w:r w:rsidRPr="002F2F42">
        <w:rPr>
          <w:b/>
          <w:bCs/>
        </w:rPr>
        <w:instrText>SEQ Table_5. \* ARABIC</w:instrText>
      </w:r>
      <w:r w:rsidRPr="002F2F42">
        <w:rPr>
          <w:b/>
          <w:bCs/>
        </w:rPr>
        <w:fldChar w:fldCharType="separate"/>
      </w:r>
      <w:r w:rsidRPr="002F2F42">
        <w:rPr>
          <w:b/>
          <w:bCs/>
          <w:noProof/>
        </w:rPr>
        <w:t>9</w:t>
      </w:r>
      <w:r w:rsidRPr="002F2F42">
        <w:rPr>
          <w:b/>
          <w:bCs/>
        </w:rPr>
        <w:fldChar w:fldCharType="end"/>
      </w:r>
      <w:bookmarkEnd w:id="0"/>
      <w:r w:rsidRPr="002F2F42">
        <w:rPr>
          <w:b/>
          <w:bCs/>
        </w:rPr>
        <w:t>.</w:t>
      </w:r>
      <w:bookmarkStart w:id="4" w:name="_heading=h.vgdtq7" w:colFirst="0" w:colLast="0"/>
      <w:bookmarkStart w:id="5" w:name="_heading=h.3fg1ce0" w:colFirst="0" w:colLast="0"/>
      <w:bookmarkEnd w:id="4"/>
      <w:bookmarkEnd w:id="5"/>
      <w:r w:rsidRPr="002F2F42">
        <w:rPr>
          <w:b/>
          <w:color w:val="000000"/>
        </w:rPr>
        <w:t xml:space="preserve"> </w:t>
      </w:r>
      <w:r w:rsidRPr="002F2F42">
        <w:rPr>
          <w:color w:val="000000"/>
        </w:rPr>
        <w:t>Examples of invasive alien species that were intentionally introduced for beneficial purposes, conflict resolution and potential management response (</w:t>
      </w:r>
      <w:r w:rsidRPr="004F6786">
        <w:rPr>
          <w:b/>
          <w:color w:val="000000"/>
        </w:rPr>
        <w:t>Chapter 4</w:t>
      </w:r>
      <w:r w:rsidRPr="004F6786">
        <w:rPr>
          <w:color w:val="000000"/>
        </w:rPr>
        <w:t>,</w:t>
      </w:r>
      <w:r w:rsidRPr="004F6786">
        <w:rPr>
          <w:b/>
          <w:color w:val="000000"/>
        </w:rPr>
        <w:t xml:space="preserve"> section 4.6.4</w:t>
      </w:r>
      <w:r w:rsidRPr="004F6786">
        <w:rPr>
          <w:color w:val="000000"/>
        </w:rPr>
        <w:t>)</w:t>
      </w:r>
      <w:bookmarkEnd w:id="1"/>
      <w:bookmarkEnd w:id="2"/>
    </w:p>
    <w:bookmarkEnd w:id="3"/>
    <w:p w:rsidR="00C7596C" w:rsidRPr="002603E2" w:rsidRDefault="00C7596C" w:rsidP="00C7596C">
      <w:pPr>
        <w:rPr>
          <w:rFonts w:eastAsia="游明朝" w:hint="eastAsia"/>
          <w:lang w:eastAsia="ja-JP"/>
        </w:rPr>
      </w:pPr>
      <w:r w:rsidRPr="00C0338D">
        <w:t>Groups include terrestrial plant; freshwater/marine plant; microorganism; bird/fish/mammal/reptile; insect</w:t>
      </w:r>
      <w:r w:rsidR="002603E2">
        <w:rPr>
          <w:rFonts w:eastAsia="游明朝" w:hint="eastAsia"/>
          <w:lang w:eastAsia="ja-JP"/>
        </w:rPr>
        <w:t>.</w:t>
      </w:r>
    </w:p>
    <w:tbl>
      <w:tblPr>
        <w:tblW w:w="9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600" w:firstRow="0" w:lastRow="0" w:firstColumn="0" w:lastColumn="0" w:noHBand="1" w:noVBand="1"/>
      </w:tblPr>
      <w:tblGrid>
        <w:gridCol w:w="1536"/>
        <w:gridCol w:w="1376"/>
        <w:gridCol w:w="1476"/>
        <w:gridCol w:w="1469"/>
        <w:gridCol w:w="1656"/>
        <w:gridCol w:w="2107"/>
      </w:tblGrid>
      <w:tr w:rsidR="00C7596C" w:rsidTr="004F6786">
        <w:trPr>
          <w:tblHeader/>
        </w:trPr>
        <w:tc>
          <w:tcPr>
            <w:tcW w:w="1536" w:type="dxa"/>
          </w:tcPr>
          <w:p w:rsidR="00C7596C" w:rsidRPr="00C0338D" w:rsidRDefault="00C7596C" w:rsidP="004F6786">
            <w:r w:rsidRPr="00C0338D">
              <w:t xml:space="preserve">Invasive alien species </w:t>
            </w:r>
          </w:p>
        </w:tc>
        <w:tc>
          <w:tcPr>
            <w:tcW w:w="1376" w:type="dxa"/>
          </w:tcPr>
          <w:p w:rsidR="00C7596C" w:rsidRPr="00C0338D" w:rsidRDefault="00C7596C" w:rsidP="004F6786">
            <w:r w:rsidRPr="00C0338D">
              <w:t xml:space="preserve">Taxonomic group </w:t>
            </w:r>
          </w:p>
        </w:tc>
        <w:tc>
          <w:tcPr>
            <w:tcW w:w="1476" w:type="dxa"/>
            <w:shd w:val="clear" w:color="auto" w:fill="auto"/>
          </w:tcPr>
          <w:p w:rsidR="00C7596C" w:rsidRPr="00C0338D" w:rsidRDefault="00C7596C" w:rsidP="004F6786">
            <w:r w:rsidRPr="00C0338D">
              <w:t xml:space="preserve">Time and location of introduction </w:t>
            </w:r>
          </w:p>
        </w:tc>
        <w:tc>
          <w:tcPr>
            <w:tcW w:w="1469" w:type="dxa"/>
            <w:shd w:val="clear" w:color="auto" w:fill="auto"/>
          </w:tcPr>
          <w:p w:rsidR="00C7596C" w:rsidRPr="00C0338D" w:rsidRDefault="00C7596C" w:rsidP="004F6786">
            <w:r w:rsidRPr="00C0338D">
              <w:t>Native range of introduced species</w:t>
            </w:r>
          </w:p>
        </w:tc>
        <w:tc>
          <w:tcPr>
            <w:tcW w:w="1656" w:type="dxa"/>
            <w:shd w:val="clear" w:color="auto" w:fill="auto"/>
          </w:tcPr>
          <w:p w:rsidR="00C7596C" w:rsidRPr="00C0338D" w:rsidRDefault="00C7596C" w:rsidP="004F6786">
            <w:r w:rsidRPr="00C0338D">
              <w:t xml:space="preserve">Primary purpose of the introduction </w:t>
            </w:r>
          </w:p>
        </w:tc>
        <w:tc>
          <w:tcPr>
            <w:tcW w:w="2107" w:type="dxa"/>
            <w:shd w:val="clear" w:color="auto" w:fill="auto"/>
          </w:tcPr>
          <w:p w:rsidR="00C7596C" w:rsidRPr="00C0338D" w:rsidRDefault="00C7596C" w:rsidP="004F6786">
            <w:r w:rsidRPr="00C0338D">
              <w:t xml:space="preserve">Co-operative efforts to develop management options </w:t>
            </w:r>
          </w:p>
        </w:tc>
      </w:tr>
      <w:tr w:rsidR="00C7596C" w:rsidTr="004F6786">
        <w:tc>
          <w:tcPr>
            <w:tcW w:w="1536" w:type="dxa"/>
          </w:tcPr>
          <w:p w:rsidR="00C7596C" w:rsidRPr="00C0338D" w:rsidRDefault="00C7596C" w:rsidP="004F6786">
            <w:pPr>
              <w:rPr>
                <w:color w:val="000000"/>
              </w:rPr>
            </w:pPr>
            <w:proofErr w:type="spellStart"/>
            <w:r w:rsidRPr="00C0338D">
              <w:rPr>
                <w:i/>
              </w:rPr>
              <w:t>Lates</w:t>
            </w:r>
            <w:proofErr w:type="spellEnd"/>
            <w:r w:rsidRPr="00C0338D">
              <w:rPr>
                <w:i/>
              </w:rPr>
              <w:t xml:space="preserve"> </w:t>
            </w:r>
            <w:proofErr w:type="spellStart"/>
            <w:r w:rsidRPr="00C0338D">
              <w:rPr>
                <w:i/>
              </w:rPr>
              <w:t>niloticus</w:t>
            </w:r>
            <w:proofErr w:type="spellEnd"/>
            <w:r w:rsidRPr="00C0338D">
              <w:t xml:space="preserve"> (N</w:t>
            </w:r>
            <w:bookmarkStart w:id="6" w:name="_GoBack"/>
            <w:bookmarkEnd w:id="6"/>
            <w:r w:rsidRPr="00C0338D">
              <w:t>ile perch)</w:t>
            </w:r>
          </w:p>
        </w:tc>
        <w:tc>
          <w:tcPr>
            <w:tcW w:w="1376" w:type="dxa"/>
          </w:tcPr>
          <w:p w:rsidR="00C7596C" w:rsidRPr="00C0338D" w:rsidRDefault="00C7596C" w:rsidP="004F6786">
            <w:r w:rsidRPr="00C0338D">
              <w:t>Vertebrate (freshwater fish)</w:t>
            </w:r>
          </w:p>
        </w:tc>
        <w:tc>
          <w:tcPr>
            <w:tcW w:w="1476" w:type="dxa"/>
            <w:shd w:val="clear" w:color="auto" w:fill="auto"/>
          </w:tcPr>
          <w:p w:rsidR="00C7596C" w:rsidRPr="00C0338D" w:rsidRDefault="00C7596C" w:rsidP="004F6786">
            <w:r w:rsidRPr="00C0338D">
              <w:t>Lake Victoria; 1960s</w:t>
            </w:r>
          </w:p>
        </w:tc>
        <w:tc>
          <w:tcPr>
            <w:tcW w:w="1469" w:type="dxa"/>
            <w:shd w:val="clear" w:color="auto" w:fill="auto"/>
          </w:tcPr>
          <w:p w:rsidR="00C7596C" w:rsidRPr="00C0338D" w:rsidRDefault="00C7596C" w:rsidP="004F6786">
            <w:r w:rsidRPr="00C0338D">
              <w:t>Afrotropical; Congo, Nile, Senegal, Niger, Lake Chad, Volta, Lake Turkana</w:t>
            </w:r>
          </w:p>
        </w:tc>
        <w:tc>
          <w:tcPr>
            <w:tcW w:w="1656" w:type="dxa"/>
            <w:shd w:val="clear" w:color="auto" w:fill="auto"/>
          </w:tcPr>
          <w:p w:rsidR="00C7596C" w:rsidRPr="00C0338D" w:rsidRDefault="00C7596C" w:rsidP="004F6786">
            <w:r w:rsidRPr="00837161">
              <w:rPr>
                <w:rFonts w:eastAsia="Arial"/>
              </w:rPr>
              <w:t>To promote the fisheries industry</w:t>
            </w:r>
            <w:r w:rsidRPr="00837161">
              <w:t xml:space="preserve"> as the dominant endemic haplochromine species were perceived to have low economic value </w:t>
            </w:r>
            <w:r w:rsidRPr="00837161">
              <w:fldChar w:fldCharType="begin"/>
            </w:r>
            <w:r>
              <w:instrText xml:space="preserve"> ADDIN ZOTERO_ITEM CSL_CITATION {"citationID":"b6FU1895","properties":{"formattedCitation":"(Njiru et al., 2005)","plainCitation":"(Njiru et al., 2005)","noteIndex":0},"citationItems":[{"id":15932,"uris":["http://zotero.org/groups/2352922/items/YTGYAVLS"],"itemData":{"id":15932,"type":"article-journal","abstract":"Lake Victoria is Africa’s most important source of inland ﬁshery production, exhibiting annual catches of ≈ 400 000 mt. The predatory Nile perch, Lates niloticus, and the herbivorous tilapiines, Oreochromis niloticus, Oreochromis leucostictus, Tilapia zillii and Tilapia rendalii, were introduced in Lake Victoria in the 1950s and 1960s. Nile perch were introduced to convert the abundant, but bony, haplochromines to ﬁsh ﬂesh, while the tilapiines were introduced to boost the declining ﬁshery. Since that time, the ﬁsheries of Lake Victoria have undergone dramatic social and ecological changes. The catches increased tremendously, changing the ﬁshery from artisanal to commercial, in turn increasing ﬁsher income and employment opportunities. However, there was a decline and, in some cases, the disappearance of many indigenous ﬁsh species, especially the haplochromine cichlids. This reduction was attributed to overexploitation, predation, and competition and hybridization with the introduced species. The decline of the native ﬁsh species has had impacts on the trophic and ecological status of the lake. Nile perch now dominate the formerly complex food web. The loss of phytoplanktivorous haplochromines has contributed to an increase in algal blooms, reduction in water quality and occasional ﬁsh kills. Water hyacinth, Eichhornia crassipes, invaded Lake Victoria in 1988, with high rates of infestation in shallow waters and bays, which are breeding and nursery grounds for most ﬁsh species. Catches of Nile perch decreased following the infestation, while those of Nile tilapia, lung ﬁsh (Protopterus aethiopicus) and mud ﬁsh (Clarias gariepinus) increased. Haplochromines species also showed some signs of recovery. In view of all these changes, the future of the Lake Victoria ﬁshery is uncertain.","container-title":"Lakes &amp; Reservoirs: Research &amp; Management","DOI":"10.1111/j.1440-1770.2005.00270.x","ISSN":"1320-5331, 1440-1770","issue":"3","journalAbbreviation":"Lakes Reserv Res Manage","language":"en","page":"147-155","source":"DOI.org (Crossref)","title":"Exotic introductions to the fishery of Lake Victoria: What are the management options?","title-short":"Exotic introductions to the fishery of Lake Victoria","URL":"http://doi.wiley.com/10.1111/j.1440-1770.2005.00270.x","volume":"10","author":[{"family":"Njiru","given":"M."},{"family":"Waithaka","given":"E."},{"family":"Muchiri","given":"M."},{"family":"Knaap","given":"M.","non-dropping-particle":"van"},{"family":"Cowx","given":"I. G."}],"accessed":{"date-parts":[["2019",11,6]]},"issued":{"date-parts":[["2005",9]]}},"label":"page"}],"schema":"https://github.com/citation-style-language/schema/raw/master/csl-citation.json"} </w:instrText>
            </w:r>
            <w:r w:rsidRPr="00837161">
              <w:fldChar w:fldCharType="separate"/>
            </w:r>
            <w:r w:rsidRPr="00271B78">
              <w:t>(</w:t>
            </w:r>
            <w:proofErr w:type="spellStart"/>
            <w:r w:rsidRPr="00271B78">
              <w:t>Njiru</w:t>
            </w:r>
            <w:proofErr w:type="spellEnd"/>
            <w:r w:rsidRPr="00271B78">
              <w:t xml:space="preserve"> </w:t>
            </w:r>
            <w:r w:rsidR="00FD691F" w:rsidRPr="00FD691F">
              <w:rPr>
                <w:i/>
              </w:rPr>
              <w:t>et al</w:t>
            </w:r>
            <w:r w:rsidRPr="00271B78">
              <w:t>., 2005)</w:t>
            </w:r>
            <w:r w:rsidRPr="00837161">
              <w:fldChar w:fldCharType="end"/>
            </w:r>
          </w:p>
        </w:tc>
        <w:tc>
          <w:tcPr>
            <w:tcW w:w="2107" w:type="dxa"/>
            <w:shd w:val="clear" w:color="auto" w:fill="auto"/>
          </w:tcPr>
          <w:p w:rsidR="00C7596C" w:rsidRPr="00C0338D" w:rsidRDefault="00C7596C" w:rsidP="004F6786">
            <w:pPr>
              <w:rPr>
                <w:color w:val="000000"/>
              </w:rPr>
            </w:pPr>
            <w:r w:rsidRPr="00837161">
              <w:t>The Kenyan, Ugandan and Tanzanian governments established a regional mechanism in 1994</w:t>
            </w:r>
            <w:r>
              <w:t>–</w:t>
            </w:r>
            <w:r w:rsidRPr="00837161">
              <w:t xml:space="preserve">- Lake Victoria Fisheries Organization – to coordinate the management and conservation. The three countries agreed to enforce legislation and regulations to protect the lake and its basin </w:t>
            </w:r>
            <w:r w:rsidRPr="00837161">
              <w:fldChar w:fldCharType="begin"/>
            </w:r>
            <w:r>
              <w:instrText xml:space="preserve"> ADDIN ZOTERO_ITEM CSL_CITATION {"citationID":"O20p6BSQ","properties":{"formattedCitation":"(Njiru et al., 2005)","plainCitation":"(Njiru et al., 2005)","noteIndex":0},"citationItems":[{"id":15932,"uris":["http://zotero.org/groups/2352922/items/YTGYAVLS"],"itemData":{"id":15932,"type":"article-journal","abstract":"Lake Victoria is Africa’s most important source of inland ﬁshery production, exhibiting annual catches of ≈ 400 000 mt. The predatory Nile perch, Lates niloticus, and the herbivorous tilapiines, Oreochromis niloticus, Oreochromis leucostictus, Tilapia zillii and Tilapia rendalii, were introduced in Lake Victoria in the 1950s and 1960s. Nile perch were introduced to convert the abundant, but bony, haplochromines to ﬁsh ﬂesh, while the tilapiines were introduced to boost the declining ﬁshery. Since that time, the ﬁsheries of Lake Victoria have undergone dramatic social and ecological changes. The catches increased tremendously, changing the ﬁshery from artisanal to commercial, in turn increasing ﬁsher income and employment opportunities. However, there was a decline and, in some cases, the disappearance of many indigenous ﬁsh species, especially the haplochromine cichlids. This reduction was attributed to overexploitation, predation, and competition and hybridization with the introduced species. The decline of the native ﬁsh species has had impacts on the trophic and ecological status of the lake. Nile perch now dominate the formerly complex food web. The loss of phytoplanktivorous haplochromines has contributed to an increase in algal blooms, reduction in water quality and occasional ﬁsh kills. Water hyacinth, Eichhornia crassipes, invaded Lake Victoria in 1988, with high rates of infestation in shallow waters and bays, which are breeding and nursery grounds for most ﬁsh species. Catches of Nile perch decreased following the infestation, while those of Nile tilapia, lung ﬁsh (Protopterus aethiopicus) and mud ﬁsh (Clarias gariepinus) increased. Haplochromines species also showed some signs of recovery. In view of all these changes, the future of the Lake Victoria ﬁshery is uncertain.","container-title":"Lakes &amp; Reservoirs: Research &amp; Management","DOI":"10.1111/j.1440-1770.2005.00270.x","ISSN":"1320-5331, 1440-1770","issue":"3","journalAbbreviation":"Lakes Reserv Res Manage","language":"en","page":"147-155","source":"DOI.org (Crossref)","title":"Exotic introductions to the fishery of Lake Victoria: What are the management options?","title-short":"Exotic introductions to the fishery of Lake Victoria","URL":"http://doi.wiley.com/10.1111/j.1440-1770.2005.00270.x","volume":"10","author":[{"family":"Njiru","given":"M."},{"family":"Waithaka","given":"E."},{"family":"Muchiri","given":"M."},{"family":"Knaap","given":"M.","non-dropping-particle":"van"},{"family":"Cowx","given":"I. G."}],"accessed":{"date-parts":[["2019",11,6]]},"issued":{"date-parts":[["2005",9]]}}}],"schema":"https://github.com/citation-style-language/schema/raw/master/csl-citation.json"} </w:instrText>
            </w:r>
            <w:r w:rsidRPr="00837161">
              <w:fldChar w:fldCharType="separate"/>
            </w:r>
            <w:r w:rsidRPr="00271B78">
              <w:t>(</w:t>
            </w:r>
            <w:proofErr w:type="spellStart"/>
            <w:r w:rsidRPr="00271B78">
              <w:t>Njiru</w:t>
            </w:r>
            <w:proofErr w:type="spellEnd"/>
            <w:r w:rsidRPr="00271B78">
              <w:t xml:space="preserve"> </w:t>
            </w:r>
            <w:r w:rsidR="00FD691F" w:rsidRPr="00FD691F">
              <w:rPr>
                <w:i/>
              </w:rPr>
              <w:t>et al</w:t>
            </w:r>
            <w:r w:rsidRPr="00271B78">
              <w:t>., 2005)</w:t>
            </w:r>
            <w:r w:rsidRPr="00837161">
              <w:fldChar w:fldCharType="end"/>
            </w:r>
          </w:p>
        </w:tc>
      </w:tr>
      <w:tr w:rsidR="00C7596C" w:rsidTr="004F6786">
        <w:tc>
          <w:tcPr>
            <w:tcW w:w="1536" w:type="dxa"/>
          </w:tcPr>
          <w:p w:rsidR="00C7596C" w:rsidRPr="00C0338D" w:rsidRDefault="00C7596C" w:rsidP="004F6786">
            <w:proofErr w:type="spellStart"/>
            <w:r w:rsidRPr="00C0338D">
              <w:rPr>
                <w:i/>
              </w:rPr>
              <w:t>Procambarus</w:t>
            </w:r>
            <w:proofErr w:type="spellEnd"/>
            <w:r w:rsidRPr="00C0338D">
              <w:rPr>
                <w:i/>
              </w:rPr>
              <w:t xml:space="preserve"> </w:t>
            </w:r>
            <w:proofErr w:type="spellStart"/>
            <w:r w:rsidRPr="00C0338D">
              <w:rPr>
                <w:i/>
              </w:rPr>
              <w:t>clarkii</w:t>
            </w:r>
            <w:proofErr w:type="spellEnd"/>
            <w:r w:rsidRPr="00C0338D">
              <w:t xml:space="preserve"> (red swamp crayfish) </w:t>
            </w:r>
          </w:p>
        </w:tc>
        <w:tc>
          <w:tcPr>
            <w:tcW w:w="1376" w:type="dxa"/>
          </w:tcPr>
          <w:p w:rsidR="00C7596C" w:rsidRPr="00C0338D" w:rsidRDefault="00C7596C" w:rsidP="004F6786">
            <w:r w:rsidRPr="00C0338D">
              <w:t>Invertebrate (freshwater crustacean)</w:t>
            </w:r>
          </w:p>
        </w:tc>
        <w:tc>
          <w:tcPr>
            <w:tcW w:w="1476" w:type="dxa"/>
            <w:shd w:val="clear" w:color="auto" w:fill="auto"/>
          </w:tcPr>
          <w:p w:rsidR="00C7596C" w:rsidRPr="00C0338D" w:rsidRDefault="00C7596C" w:rsidP="004F6786">
            <w:r w:rsidRPr="00837161">
              <w:t xml:space="preserve">Present in 40 countries across all continents except Australia and Antarctica </w:t>
            </w:r>
            <w:r w:rsidRPr="00837161">
              <w:fldChar w:fldCharType="begin"/>
            </w:r>
            <w:r>
              <w:instrText xml:space="preserve"> ADDIN ZOTERO_ITEM CSL_CITATION {"citationID":"2v78tduf","properties":{"formattedCitation":"(Nunes et al., 2017; Oficialdegui, S\\uc0\\u225{}nchez, et al., 2020)","plainCitation":"(Nunes et al., 2017; Oficialdegui, Sánchez, et al., 2020)","noteIndex":0},"citationItems":[{"id":53162,"uris":["http://zotero.org/groups/2352922/items/7V63GIKC","http://zotero.org/groups/2352922/items/PNDEPCPG"],"itemData":{"id":53162,"type":"article-journal","container-title":"Aquatic Conservation: Marine and Freshwater Ecosystems","DOI":"10.1002/aqc.2741","ISSN":"10527613","issue":"6","journalAbbreviation":"Aquatic Conserv: Mar Freshw Ecosyst","language":"en","page":"1334-1340","source":"DOI.org (Crossref)","title":"Red swamp crayfish, &lt;i&gt;Procambarus clarkii&lt;/i&gt; , found in South Africa 22 years after attempted eradication","title-short":"Red swamp crayfish, &lt;i&gt;Procambarus clarkii&lt;/i&gt; , found in South Africa 22 years after attempted eradication","URL":"https://onlinelibrary.wiley.com/doi/10.1002/aqc.2741","volume":"27","author":[{"family":"Nunes","given":"Ana L."},{"family":"Hoffman","given":"Andries C."},{"family":"Zengeya","given":"Tsungai A."},{"family":"Measey","given":"G. John"},{"family":"Weyl","given":"Olaf LF"}],"accessed":{"date-parts":[["2022",9,2]]},"issued":{"date-parts":[["2017",12]]}},"label":"page"},{"id":53163,"uris":["http://zotero.org/groups/2352922/items/VHLSGGXV","http://zotero.org/groups/2352922/items/MMJ7BVCI"],"itemData":{"id":53163,"type":"article-journal","container-title":"Reviews in Fish Biology and Fisheries","DOI":"10.1007/s11160-020-09594-z","ISSN":"0960-3166, 1573-5184","issue":"1","journalAbbreviation":"Rev Fish Biol Fisheries","language":"en","page":"121-135","source":"DOI.org (Crossref)","title":"One century away from home: how the red swamp crayfish took over the world","title-short":"One century away from home","URL":"http://link.springer.com/10.1007/s11160-020-09594-z","volume":"30","author":[{"family":"Oficialdegui","given":"Francisco J."},{"family":"Sánchez","given":"Marta I."},{"family":"Clavero","given":"Miguel"}],"accessed":{"date-parts":[["2022",9,2]]},"issued":{"date-parts":[["2020",3]]}},"label":"page"}],"schema":"https://github.com/citation-style-language/schema/raw/master/csl-citation.json"} </w:instrText>
            </w:r>
            <w:r w:rsidRPr="00837161">
              <w:fldChar w:fldCharType="separate"/>
            </w:r>
            <w:r w:rsidRPr="00271B78">
              <w:t xml:space="preserve">(Nunes </w:t>
            </w:r>
            <w:r w:rsidR="00FD691F" w:rsidRPr="00FD691F">
              <w:rPr>
                <w:i/>
              </w:rPr>
              <w:t>et al</w:t>
            </w:r>
            <w:r w:rsidRPr="00271B78">
              <w:t xml:space="preserve">., 2017; </w:t>
            </w:r>
            <w:proofErr w:type="spellStart"/>
            <w:r w:rsidRPr="00271B78">
              <w:t>Oficialdegui</w:t>
            </w:r>
            <w:proofErr w:type="spellEnd"/>
            <w:r w:rsidRPr="00271B78">
              <w:t xml:space="preserve">, Sánchez, </w:t>
            </w:r>
            <w:r w:rsidR="00FD691F" w:rsidRPr="00FD691F">
              <w:rPr>
                <w:i/>
              </w:rPr>
              <w:t>et al</w:t>
            </w:r>
            <w:r w:rsidRPr="00271B78">
              <w:t>., 2020)</w:t>
            </w:r>
            <w:r w:rsidRPr="00837161">
              <w:fldChar w:fldCharType="end"/>
            </w:r>
          </w:p>
        </w:tc>
        <w:tc>
          <w:tcPr>
            <w:tcW w:w="1469" w:type="dxa"/>
            <w:shd w:val="clear" w:color="auto" w:fill="auto"/>
          </w:tcPr>
          <w:p w:rsidR="00C7596C" w:rsidRPr="00C0338D" w:rsidRDefault="00C7596C" w:rsidP="004F6786">
            <w:r w:rsidRPr="00C0338D">
              <w:t>Southern</w:t>
            </w:r>
          </w:p>
          <w:p w:rsidR="00C7596C" w:rsidRPr="00C0338D" w:rsidRDefault="00C7596C" w:rsidP="004F6786">
            <w:r w:rsidRPr="00C0338D">
              <w:t>United States and north-eastern Mexico</w:t>
            </w:r>
          </w:p>
        </w:tc>
        <w:tc>
          <w:tcPr>
            <w:tcW w:w="1656" w:type="dxa"/>
            <w:shd w:val="clear" w:color="auto" w:fill="auto"/>
          </w:tcPr>
          <w:p w:rsidR="00C7596C" w:rsidRPr="00C0338D" w:rsidRDefault="00C7596C" w:rsidP="004F6786">
            <w:r w:rsidRPr="00C0338D">
              <w:t>Aquaculture</w:t>
            </w:r>
          </w:p>
        </w:tc>
        <w:tc>
          <w:tcPr>
            <w:tcW w:w="2107" w:type="dxa"/>
            <w:shd w:val="clear" w:color="auto" w:fill="auto"/>
          </w:tcPr>
          <w:p w:rsidR="00C7596C" w:rsidRPr="00C0338D" w:rsidRDefault="00C7596C" w:rsidP="004F6786">
            <w:r w:rsidRPr="00C0338D">
              <w:t xml:space="preserve">In one example in Europe, where the red swamp crayfish has a high economic value, legislation regulating the red swamp crayfish on the basis of biodiversity protection was overridden to allow continued use due to public opposition and socioeconomic </w:t>
            </w:r>
            <w:r w:rsidRPr="00C0338D">
              <w:lastRenderedPageBreak/>
              <w:t xml:space="preserve">interests. Therefore, the legislation did not achieve the desired environmental outcomes, leading to the recommendations that context specific legislation is more likely to receive wider support </w:t>
            </w:r>
            <w:r w:rsidRPr="00837161">
              <w:fldChar w:fldCharType="begin"/>
            </w:r>
            <w:r>
              <w:instrText xml:space="preserve"> ADDIN ZOTERO_ITEM CSL_CITATION {"citationID":"HEhonGGF","properties":{"formattedCitation":"(Oficialdegui, Delibes-Mateos, et al., 2020)","plainCitation":"(Oficialdegui, Delibes-Mateos, et al., 2020)","noteIndex":0},"citationItems":[{"id":52349,"uris":["http://zotero.org/groups/2352922/items/D4CG2H25"],"itemData":{"id":52349,"type":"article-journal","container-title":"Conservation Biology","DOI":"10.1111/cobi.13481","ISSN":"1523-1739","issue":"4","language":"en","note":"_eprint: https://onlinelibrary.wiley.com/doi/pdf/10.1111/cobi.13481","page":"1047-1050","source":"Wiley Online Library","title":"Rigid laws and invasive species management","URL":"https://onlinelibrary.wiley.com/doi/abs/10.1111/cobi.13481","volume":"34","author":[{"family":"Oficialdegui","given":"Francisco J."},{"family":"Delibes-Mateos","given":"Miguel"},{"family":"Green","given":"Andy J."},{"family":"Sánchez","given":"Marta I."},{"family":"Boyero","given":"Luz"},{"family":"Clavero","given":"Miguel"}],"accessed":{"date-parts":[["2022",5,20]]},"issued":{"date-parts":[["2020"]]}},"label":"page"}],"schema":"https://github.com/citation-style-language/schema/raw/master/csl-citation.json"} </w:instrText>
            </w:r>
            <w:r w:rsidRPr="00837161">
              <w:fldChar w:fldCharType="separate"/>
            </w:r>
            <w:r w:rsidRPr="00271B78">
              <w:t>(</w:t>
            </w:r>
            <w:proofErr w:type="spellStart"/>
            <w:r w:rsidRPr="00271B78">
              <w:t>Oficialdegui</w:t>
            </w:r>
            <w:proofErr w:type="spellEnd"/>
            <w:r w:rsidRPr="00271B78">
              <w:t>, Delibes-</w:t>
            </w:r>
            <w:proofErr w:type="spellStart"/>
            <w:r w:rsidRPr="00271B78">
              <w:t>Mateos</w:t>
            </w:r>
            <w:proofErr w:type="spellEnd"/>
            <w:r w:rsidRPr="00271B78">
              <w:t xml:space="preserve">, </w:t>
            </w:r>
            <w:r w:rsidR="00FD691F" w:rsidRPr="00FD691F">
              <w:rPr>
                <w:i/>
              </w:rPr>
              <w:t>et al</w:t>
            </w:r>
            <w:r w:rsidRPr="00271B78">
              <w:t>., 2020)</w:t>
            </w:r>
            <w:r w:rsidRPr="00837161">
              <w:fldChar w:fldCharType="end"/>
            </w:r>
          </w:p>
        </w:tc>
      </w:tr>
      <w:tr w:rsidR="00C7596C" w:rsidTr="004F6786">
        <w:tc>
          <w:tcPr>
            <w:tcW w:w="1536" w:type="dxa"/>
          </w:tcPr>
          <w:p w:rsidR="00C7596C" w:rsidRPr="00C0338D" w:rsidRDefault="00C7596C" w:rsidP="004F6786">
            <w:proofErr w:type="spellStart"/>
            <w:r w:rsidRPr="00C0338D">
              <w:rPr>
                <w:i/>
              </w:rPr>
              <w:lastRenderedPageBreak/>
              <w:t>Robinia</w:t>
            </w:r>
            <w:proofErr w:type="spellEnd"/>
            <w:r w:rsidRPr="00C0338D">
              <w:rPr>
                <w:i/>
              </w:rPr>
              <w:t xml:space="preserve"> </w:t>
            </w:r>
            <w:proofErr w:type="spellStart"/>
            <w:r w:rsidRPr="00C0338D">
              <w:rPr>
                <w:i/>
              </w:rPr>
              <w:t>pseudoacacia</w:t>
            </w:r>
            <w:proofErr w:type="spellEnd"/>
            <w:r w:rsidRPr="00C0338D">
              <w:t xml:space="preserve"> (black locust)</w:t>
            </w:r>
          </w:p>
        </w:tc>
        <w:tc>
          <w:tcPr>
            <w:tcW w:w="1376" w:type="dxa"/>
          </w:tcPr>
          <w:p w:rsidR="00C7596C" w:rsidRPr="00C0338D" w:rsidRDefault="00C7596C" w:rsidP="004F6786">
            <w:r w:rsidRPr="00C0338D">
              <w:t xml:space="preserve">Terrestrial tree </w:t>
            </w:r>
          </w:p>
        </w:tc>
        <w:tc>
          <w:tcPr>
            <w:tcW w:w="1476" w:type="dxa"/>
            <w:shd w:val="clear" w:color="auto" w:fill="auto"/>
          </w:tcPr>
          <w:p w:rsidR="00C7596C" w:rsidRPr="00C0338D" w:rsidRDefault="00C7596C" w:rsidP="004F6786">
            <w:pPr>
              <w:rPr>
                <w:color w:val="000000"/>
              </w:rPr>
            </w:pPr>
            <w:r w:rsidRPr="00C0338D">
              <w:t xml:space="preserve">Europe </w:t>
            </w:r>
          </w:p>
        </w:tc>
        <w:tc>
          <w:tcPr>
            <w:tcW w:w="1469" w:type="dxa"/>
            <w:shd w:val="clear" w:color="auto" w:fill="auto"/>
          </w:tcPr>
          <w:p w:rsidR="00C7596C" w:rsidRPr="00C0338D" w:rsidRDefault="00C7596C" w:rsidP="004F6786">
            <w:pPr>
              <w:rPr>
                <w:color w:val="000000"/>
              </w:rPr>
            </w:pPr>
            <w:r w:rsidRPr="00C0338D">
              <w:t>North America</w:t>
            </w:r>
          </w:p>
        </w:tc>
        <w:tc>
          <w:tcPr>
            <w:tcW w:w="1656" w:type="dxa"/>
            <w:shd w:val="clear" w:color="auto" w:fill="auto"/>
          </w:tcPr>
          <w:p w:rsidR="00C7596C" w:rsidRPr="00C0338D" w:rsidRDefault="00C7596C" w:rsidP="004F6786">
            <w:pPr>
              <w:rPr>
                <w:color w:val="000000"/>
              </w:rPr>
            </w:pPr>
            <w:r w:rsidRPr="00837161">
              <w:t xml:space="preserve">Wood and honey production, amelioration and soil stabilization </w:t>
            </w:r>
            <w:r w:rsidRPr="00837161">
              <w:fldChar w:fldCharType="begin"/>
            </w:r>
            <w:r>
              <w:instrText xml:space="preserve"> ADDIN ZOTERO_ITEM CSL_CITATION {"citationID":"kde8qUT1","properties":{"formattedCitation":"(V\\uc0\\u237{}tkov\\uc0\\u225{} et al., 2017)","plainCitation":"(Vítková et al., 2017)","noteIndex":0},"citationItems":[{"id":30994,"uris":["http://zotero.org/groups/2352922/items/27YC8Y8L"],"itemData":{"id":30994,"type":"article-journal","abstract":"Robinia pseudoacacia, invaded many countries a long time ago and is now a common part of the Central European landscape. Positive economic but negative environmental impacts of Robinia result in conflicts of interest between nature conservation, forestry, urban landscaping, beekeepers and the public when defining management priorities. Because current legislation will determine the future distribution of Robinia in the landscape, a comprehensive view of this species is necessary. Although this species is well studied, most of the scientific papers deal with the economic aspects. Other information is published in local journals or reports. Therefore we reviewed the ecological and socio-economic impact of Robinia placing particular emphasis on the species’ history, vegetation ecology, invasiveness and management. In Central Europe, Robinia is limited climatically by late spring frost combined with a short vegetation period, soil hypoxia, shade and frequent major disturbances. The long historical tradition of using Robinia for afforestation has resulted in its popularity as a widespread forest tree and it being an important part of the economy in some countries. The main reasons are its fast growth, valuable and resistant wood, suitability for amelioration, reclamation of disturbed sites and erosion control, honey-making and recently dendromass production. On the other hand, a side-effect of planting this nitrogen-fixing pioneer tree, very tolerant of the nature of the substrate, is its propagation and spread, which pose a problem for nature conservation. Robinia is considered invasive, threatening especially dry and semi-dry grasslands, some of the most species-rich and endangered types of habitat in the region, causing extinction of many endangered light-demanding plants and invertebrates due to changes in light regime, microclimate and soil conditions. Other often invaded habitats include open dry forests and shrubland, alluvial habitats, agrarian landscapes, urban and industrial environments and disturbed sites, e.g. post-fire sites, forest clearings or degraded forestry plantations. Without forestry, black locust abundance would decrease during succession in forests with highly competitive and shade tolerant trees and in mature forests it occurs only as admixture of climax trees. The limited pool of native woody species, lack of serious natural enemies and a dense cover of grasses and sedges can suppress forest succession and favour the development of Robinia monodominant stands over 70 years old. A stratified approach, which combines both tolerance in some areas and strict eradication at valuable sites, provides the best option for achieving a sustainable coexistence of Robinia with people and nature.","container-title":"Forest ecology and management","DOI":"10.1016/j.foreco.2016.10.057","ISSN":"0378-1127","journalAbbreviation":"For Ecol Manage","note":"PMID: 30237654\nPMCID: PMC6143167","page":"287-302","source":"PubMed Central","title":"Black locust (&lt;i&gt;Robinia pseudoacacia&lt;/i&gt;) beloved and despised: a story of an invasive tree in Central Europe","title-short":"Black locust (Robinia pseudoacacia) beloved and despised","URL":"https://www.ncbi.nlm.nih.gov/pmc/articles/PMC6143167/","volume":"384","author":[{"family":"Vítková","given":"Michaela"},{"family":"Müllerová","given":"Jana"},{"family":"Sádlo","given":"Jiří"},{"family":"Pergl","given":"Jan"},{"family":"Pyšek","given":"Petr"}],"accessed":{"date-parts":[["2021",3,12]]},"issued":{"date-parts":[["2017",1,15]]}},"label":"page"}],"schema":"https://github.com/citation-style-language/schema/raw/master/csl-citation.json"} </w:instrText>
            </w:r>
            <w:r w:rsidRPr="00837161">
              <w:fldChar w:fldCharType="separate"/>
            </w:r>
            <w:r w:rsidRPr="00271B78">
              <w:t>(</w:t>
            </w:r>
            <w:proofErr w:type="spellStart"/>
            <w:r w:rsidRPr="00271B78">
              <w:t>Vítková</w:t>
            </w:r>
            <w:proofErr w:type="spellEnd"/>
            <w:r w:rsidRPr="00271B78">
              <w:t xml:space="preserve"> </w:t>
            </w:r>
            <w:r w:rsidR="00FD691F" w:rsidRPr="00FD691F">
              <w:rPr>
                <w:i/>
              </w:rPr>
              <w:t>et al</w:t>
            </w:r>
            <w:r w:rsidRPr="00271B78">
              <w:t>., 2017)</w:t>
            </w:r>
            <w:r w:rsidRPr="00837161">
              <w:fldChar w:fldCharType="end"/>
            </w:r>
          </w:p>
        </w:tc>
        <w:tc>
          <w:tcPr>
            <w:tcW w:w="2107" w:type="dxa"/>
            <w:shd w:val="clear" w:color="auto" w:fill="auto"/>
          </w:tcPr>
          <w:p w:rsidR="00C7596C" w:rsidRPr="00C0338D" w:rsidRDefault="00C7596C" w:rsidP="004F6786">
            <w:pPr>
              <w:rPr>
                <w:color w:val="000000"/>
              </w:rPr>
            </w:pPr>
            <w:r w:rsidRPr="00C0338D">
              <w:t>Societal concern resulted in the species not being included in the list of regulated species at the European level. In some countries, management is based on site-specific approaches leading to tolerance in selected areas and strict eradication at sites of high conservation value.</w:t>
            </w:r>
          </w:p>
        </w:tc>
      </w:tr>
      <w:tr w:rsidR="00C7596C" w:rsidTr="004F6786">
        <w:tc>
          <w:tcPr>
            <w:tcW w:w="1536" w:type="dxa"/>
          </w:tcPr>
          <w:p w:rsidR="00C7596C" w:rsidRPr="00C0338D" w:rsidRDefault="00C7596C" w:rsidP="004F6786">
            <w:r w:rsidRPr="00C0338D">
              <w:rPr>
                <w:i/>
              </w:rPr>
              <w:t xml:space="preserve">Prosopis </w:t>
            </w:r>
            <w:proofErr w:type="spellStart"/>
            <w:r w:rsidRPr="00C0338D">
              <w:rPr>
                <w:i/>
              </w:rPr>
              <w:t>juliflora</w:t>
            </w:r>
            <w:proofErr w:type="spellEnd"/>
            <w:r w:rsidRPr="00C0338D">
              <w:t xml:space="preserve"> (mesquite)</w:t>
            </w:r>
          </w:p>
        </w:tc>
        <w:tc>
          <w:tcPr>
            <w:tcW w:w="1376" w:type="dxa"/>
          </w:tcPr>
          <w:p w:rsidR="00C7596C" w:rsidRPr="00C0338D" w:rsidRDefault="00C7596C" w:rsidP="004F6786">
            <w:pPr>
              <w:rPr>
                <w:highlight w:val="yellow"/>
              </w:rPr>
            </w:pPr>
            <w:r w:rsidRPr="00C0338D">
              <w:t xml:space="preserve">Terrestrial tree </w:t>
            </w:r>
          </w:p>
        </w:tc>
        <w:tc>
          <w:tcPr>
            <w:tcW w:w="1476" w:type="dxa"/>
            <w:shd w:val="clear" w:color="auto" w:fill="auto"/>
          </w:tcPr>
          <w:p w:rsidR="00C7596C" w:rsidRPr="00C0338D" w:rsidRDefault="00C7596C" w:rsidP="004F6786">
            <w:r w:rsidRPr="00C0338D">
              <w:t>35 countries in Africa; over 20 countries in Asia and the Pacific</w:t>
            </w:r>
          </w:p>
        </w:tc>
        <w:tc>
          <w:tcPr>
            <w:tcW w:w="1469" w:type="dxa"/>
            <w:shd w:val="clear" w:color="auto" w:fill="auto"/>
          </w:tcPr>
          <w:p w:rsidR="00C7596C" w:rsidRPr="00C0338D" w:rsidRDefault="00C7596C" w:rsidP="004F6786">
            <w:pPr>
              <w:rPr>
                <w:color w:val="000000"/>
              </w:rPr>
            </w:pPr>
            <w:r w:rsidRPr="00C0338D">
              <w:t>The Americas</w:t>
            </w:r>
          </w:p>
        </w:tc>
        <w:tc>
          <w:tcPr>
            <w:tcW w:w="1656" w:type="dxa"/>
            <w:shd w:val="clear" w:color="auto" w:fill="auto"/>
          </w:tcPr>
          <w:p w:rsidR="00C7596C" w:rsidRPr="00C0338D" w:rsidRDefault="00C7596C" w:rsidP="004F6786">
            <w:r w:rsidRPr="00C0338D">
              <w:t>Soil stabilization and to provide fuel and livestock fodder</w:t>
            </w:r>
          </w:p>
          <w:p w:rsidR="00C7596C" w:rsidRPr="00C0338D" w:rsidRDefault="00C7596C" w:rsidP="004F6786"/>
          <w:p w:rsidR="00C7596C" w:rsidRPr="00C0338D" w:rsidRDefault="00C7596C" w:rsidP="004F6786"/>
          <w:p w:rsidR="00C7596C" w:rsidRPr="00C0338D" w:rsidRDefault="00C7596C" w:rsidP="004F6786"/>
          <w:p w:rsidR="00C7596C" w:rsidRPr="00C0338D" w:rsidRDefault="00C7596C" w:rsidP="004F6786"/>
          <w:p w:rsidR="00C7596C" w:rsidRPr="00C0338D" w:rsidRDefault="00C7596C" w:rsidP="004F6786"/>
          <w:p w:rsidR="00C7596C" w:rsidRPr="00C0338D" w:rsidRDefault="00C7596C" w:rsidP="004F6786">
            <w:pPr>
              <w:rPr>
                <w:color w:val="000000"/>
              </w:rPr>
            </w:pPr>
            <w:r w:rsidRPr="00C0338D">
              <w:t xml:space="preserve">It was introduced into South India for fuelwood purposes and to benefit the dryland economy </w:t>
            </w:r>
          </w:p>
        </w:tc>
        <w:tc>
          <w:tcPr>
            <w:tcW w:w="2107" w:type="dxa"/>
            <w:shd w:val="clear" w:color="auto" w:fill="auto"/>
          </w:tcPr>
          <w:p w:rsidR="00C7596C" w:rsidRPr="00837161" w:rsidRDefault="00C7596C" w:rsidP="004F6786">
            <w:pPr>
              <w:rPr>
                <w:shd w:val="clear" w:color="auto" w:fill="FFFFFF"/>
              </w:rPr>
            </w:pPr>
            <w:r w:rsidRPr="00837161">
              <w:rPr>
                <w:rFonts w:eastAsia="Calibri"/>
              </w:rPr>
              <w:lastRenderedPageBreak/>
              <w:t xml:space="preserve">In one region a national plan to </w:t>
            </w:r>
            <w:r w:rsidRPr="00837161">
              <w:rPr>
                <w:shd w:val="clear" w:color="auto" w:fill="FFFFFF"/>
              </w:rPr>
              <w:t>manage the invasion</w:t>
            </w:r>
            <w:r w:rsidRPr="00837161">
              <w:rPr>
                <w:rFonts w:eastAsia="Calibri"/>
              </w:rPr>
              <w:t xml:space="preserve"> is under development, driven by bottom-up concerns, </w:t>
            </w:r>
            <w:r w:rsidRPr="00837161">
              <w:rPr>
                <w:shd w:val="clear" w:color="auto" w:fill="FFFFFF"/>
              </w:rPr>
              <w:t xml:space="preserve">as a community requested </w:t>
            </w:r>
            <w:r w:rsidRPr="00837161">
              <w:rPr>
                <w:shd w:val="clear" w:color="auto" w:fill="FFFFFF"/>
              </w:rPr>
              <w:lastRenderedPageBreak/>
              <w:t xml:space="preserve">compensation from the government after losing their cattle due to the effects of </w:t>
            </w:r>
            <w:r w:rsidRPr="00837161">
              <w:rPr>
                <w:i/>
                <w:iCs/>
                <w:shd w:val="clear" w:color="auto" w:fill="FFFFFF"/>
              </w:rPr>
              <w:t xml:space="preserve">Prosopis </w:t>
            </w:r>
            <w:proofErr w:type="spellStart"/>
            <w:r w:rsidRPr="00837161">
              <w:rPr>
                <w:i/>
                <w:iCs/>
                <w:shd w:val="clear" w:color="auto" w:fill="FFFFFF"/>
              </w:rPr>
              <w:t>juliflora</w:t>
            </w:r>
            <w:proofErr w:type="spellEnd"/>
            <w:r w:rsidRPr="00837161">
              <w:rPr>
                <w:shd w:val="clear" w:color="auto" w:fill="FFFFFF"/>
              </w:rPr>
              <w:t xml:space="preserve">. As it was introduced in a government </w:t>
            </w:r>
            <w:proofErr w:type="spellStart"/>
            <w:r w:rsidRPr="00837161">
              <w:rPr>
                <w:shd w:val="clear" w:color="auto" w:fill="FFFFFF"/>
              </w:rPr>
              <w:t>programme</w:t>
            </w:r>
            <w:proofErr w:type="spellEnd"/>
            <w:r w:rsidRPr="00837161">
              <w:rPr>
                <w:shd w:val="clear" w:color="auto" w:fill="FFFFFF"/>
              </w:rPr>
              <w:t xml:space="preserve"> </w:t>
            </w:r>
            <w:r w:rsidRPr="00837161">
              <w:rPr>
                <w:shd w:val="clear" w:color="auto" w:fill="FFFFFF"/>
              </w:rPr>
              <w:fldChar w:fldCharType="begin"/>
            </w:r>
            <w:r>
              <w:rPr>
                <w:shd w:val="clear" w:color="auto" w:fill="FFFFFF"/>
              </w:rPr>
              <w:instrText xml:space="preserve"> ADDIN ZOTERO_ITEM CSL_CITATION {"citationID":"VMhWEZHJ","properties":{"formattedCitation":"(R. T. Shackleton et al., 2014)","plainCitation":"(R. T. Shackleton et al., 2014)","dontUpdate":true,"noteIndex":0},"citationItems":[{"id":30997,"uris":["http://zotero.org/groups/2352922/items/QFIBHHV3"],"itemData":{"id":30997,"type":"article-journal","abstract":"Invasive species cause ecological, economic and social impacts and are key drivers of global change. This is the case for the genus Prosopis (mesquite; Fabaceae) where several taxa are among the world's most damaging invasive species. Many contentious issues ('conflicts of interest') surround these taxa, and management interventions have not yet sustainably reduced the negative impacts. There is an urgent need to better understand the factors that drive invasions and shape management actions, and to compare the effectiveness of different management approaches. This paper presents a global review of Prosopis, focusing on its distribution, impacts, benefits and approaches to management. Prosopis was found to occur in a 129 countries globally and many more countries are climatically suitable. All areas with naturalized or invasive Prosopis species at present are suitable for more taxa and many Asian and Mediterranean countries with no records of Prosopis are bioclimatically suitable. Several Prosopis species have substantial impacts on biodiversity, ecosystem services, and local and regional economies in their native and even more so in their invasive ranges; others provide multiple benefits to local communities. Management efforts are underway in only a small part of the invaded range. Countries where more research has been done are more likely to implement formal management than those where little published research is available. Management strategies differ among countries; developed nations use mainly mechanical and chemical control whereas developing nations tend to apply control through utilization approaches. A range of countries are also using biological control. Key gaps in knowledge and promising options for management are highlighted.","container-title":"AoB PLANTS","DOI":"10.1093/aobpla/plu027","ISSN":"20412851","language":"en","note":"PMID: 24899150","page":"plu027","source":"DOI.org (Crossref)","title":"&lt;i&gt;Prosopis&lt;/i&gt;: A global assessment of the biogeography, benefits, impacts and management of one of the world's worst woody invasive plant taxa","title-short":"Prosopis","URL":"https://academic.oup.com/aobpla/article/doi/10.1093/aobpla/plu027/158411","volume":"6","author":[{"family":"Shackleton","given":"Ross T."},{"family":"Le Maitre","given":"David C."},{"family":"Pasiecznik","given":"Nick M."},{"family":"Richardson","given":"David M."}],"issued":{"date-parts":[["2014",1,1]]}}}],"schema":"https://github.com/citation-style-language/schema/raw/master/csl-citation.json"} </w:instrText>
            </w:r>
            <w:r w:rsidRPr="00837161">
              <w:rPr>
                <w:shd w:val="clear" w:color="auto" w:fill="FFFFFF"/>
              </w:rPr>
              <w:fldChar w:fldCharType="separate"/>
            </w:r>
            <w:r w:rsidRPr="00837161">
              <w:t xml:space="preserve">(Shackleton </w:t>
            </w:r>
            <w:r w:rsidR="00FD691F" w:rsidRPr="00FD691F">
              <w:rPr>
                <w:i/>
              </w:rPr>
              <w:t>et al</w:t>
            </w:r>
            <w:r w:rsidRPr="00837161">
              <w:t>., 2014)</w:t>
            </w:r>
            <w:r w:rsidRPr="00837161">
              <w:rPr>
                <w:shd w:val="clear" w:color="auto" w:fill="FFFFFF"/>
              </w:rPr>
              <w:fldChar w:fldCharType="end"/>
            </w:r>
            <w:r w:rsidRPr="00837161">
              <w:rPr>
                <w:shd w:val="clear" w:color="auto" w:fill="FFFFFF"/>
              </w:rPr>
              <w:t>, the community was awarded compensation</w:t>
            </w:r>
            <w:r w:rsidRPr="00837161">
              <w:rPr>
                <w:rFonts w:eastAsia="Calibri"/>
              </w:rPr>
              <w:t xml:space="preserve"> </w:t>
            </w:r>
            <w:r w:rsidRPr="00837161">
              <w:rPr>
                <w:rFonts w:eastAsia="Calibri"/>
              </w:rPr>
              <w:fldChar w:fldCharType="begin"/>
            </w:r>
            <w:r>
              <w:rPr>
                <w:rFonts w:eastAsia="Calibri"/>
              </w:rPr>
              <w:instrText xml:space="preserve"> ADDIN ZOTERO_ITEM CSL_CITATION {"citationID":"y2wg4cDt","properties":{"formattedCitation":"(Castillo, 2019)","plainCitation":"(Castillo, 2019)","noteIndex":0},"citationItems":[{"id":29971,"uris":["http://zotero.org/groups/2352922/items/IU47SXLI"],"itemData":{"id":29971,"type":"thesis","abstract":"ENGLISH ABSTRACT: Increased movement of humans and goods around the world has facilitated the transportation of many species into new geographic ranges. A significant number of these have become invasive, resulting in substantial ecological, social, and economic impacts. In order to develop effective management strategies, it is necessary to elucidate the drivers underlying invasion and to understand what determines species invasiveness. Progress in the understanding and management of biological invasions depends on proper taxonomic identification of invasive species. However, the taxonomy of many alien taxa remains problematic due to unresolved species relationships, geographic distributions and/or inter-specific hybridization, among others.  \nMequite trees from the genus Prosopis are problematic invasive species in many parts of the world. To resolve taxonomic uncertainty among Prosopis species globally, I used phylogenetic and population genetic approaches to examine evolutionary relationships and levels of genetic diversity and population genetic similarity among Prosopis species collected from four native regions (Argentina, Chile, Mexico and Peru) and six non-native regions (Australia, Hawaii, Kenya, Ethiopia, Tanzania and South Africa). The genetic analysis showed high phylogenetic similarity, low genetic differentiation between species from the native range and provided evidence for inter-specific hybridization between different Prosopis species in both native and non-native ranges. My findings suggest that hybridization between previoulsy allopatric species may occur frequently when they are co-introduced into new ranges. In addition, polyploid individuals were detected in both native and non-native areas, with tetraploid P. juliflora being highly differentiated from other diploid Prosopis species. Polyploidy is therefore proposed as an additional mechanism that facilitates reproductive isolation between some Prosopis species. Lastly, levels of genetic diversity suggest that invasive populations in Eastern Africa (Kenya and Ethiopia) probably resulted from multiple introductions of two species, P. juliflora and P. pallida.  \nProsopis invasion in Eastern Africa provided an excellent opportunity to examine how the ecological and genetic attributes of invasiveness, and drivers of invasion success, vary with context and taxon, because the founder trees of two species, tetraploid P. julifora and diploid P. pallida, are still present in the original plantations today. Here, I exploited these unique circumstances and examined the mechanisms – such as plasticity, rapid post-introduction evolution and hybridization – that contribute to the invasion success of these trees in Baringo County, Kenya and Afar Region, Ethiopia. I found that in Baringo County, despite the similar invasion history of P. pallida and P. juliflora and probable inter-species hybridization, only P. juliflora individuals became invasive in the region; indicating that the success of Prosopis invasion is not attributed to hybridization but potentially to the higher ploidy of P. juliflora. Similarly, in Ethiopia’s Afar Region, genotypes consisted exclusively of P. juliflora. In Kenya’s Baringo County, I performed common garden and reciprocal field transplant experiments that indicated that high levels of phenotypic plasticity and post-introduction evolution had contributed to the invasiveness of P. juliflora. Similar levels of plasticity were absent from introduced, but non-invasive, P. pallida. My results also showed that different demographic processes may be occurring in the Afar region (Ethiopia) and Baringo County (Kenya). In the latter, contemporary genetic change during the invasive spread, or founder effects during initial range expansion from plantations, may explain the genetic erosion I found along the range expansion of Prosopis. In Afar Region, successful spread may have been promoted by gene flow from “source” plantations to invasive genotypes, homogenizing standing genetic diversity across the invasion. Lastly, by using landscape resistance modelling in both areas, I showed that dispersal among Prosopis populations was not influenced by any of the attributes analysed: physical distance between populations, variables related to human and animal-mediated dispersal along roads and rivers, bioclimatic and altitudinal conditions. Therefore, the dispersal of Prosopis populations was not constrained by any landscape variable, and probably involved frequent human-assisted long-distance dispersal. Overal, this study showed that hybridization, polyploidy or both have contributed to the invasiveness of Prosopis. Finally, this study formed part of a larger international collaborative project entitled “Woody invasive alien species (IAS) in Eastern Africa: assessing and mitigating their negative impacts on ecosystem services and rural livelihoods” (hereafter referred to as Woody Weeds), with the overall objective of mitigating the impacts of woody IAS on biodiversity, ecosystem services and rural livelihoods in Eastern Africa. For this, basic knowledge about the invasion process and the impacts of woody IAS are being evaluated and diverse control and sustainable land management strategies are being proposed. In collaboration with PhD students involved in the Woody Weeds project, I propose key components of research projects addressing complex social-ecological topics that facilitate inter-disciplinary and, when interacting with stakeholders, trans-disciplinary research. Trans-disciplinary approaches should have a clear structure that transcends disciplines through amultidisciplinary team with common goals. To allow for integration and upscaling of findings, there should be a co-design of data collection using different methodologies in the same experimental units/scales. It is important to have the clear intention to identify management options with stakeholders, estimate their effects and test their implementation, as well as provide transdisciplinary training for all project participants. To facilitate the integration of the drivers of alien plant invasion into the development of effective management options, I concluded with a discussion of two principal questions: (i) How does an improved understanding of the eco-evolutionary drivers of invasiveness help us to better manage the problem? (ii) What implications does the better understanding of genetic and ecological drivers have for the use of particular control methods, especially biological control?","genre":"Thesis","language":"en_ZA","license":"Stellenbosch University","note":"Accepted: 2019-10-30T20:56:44Z\nNo unique identifier","publisher":"Stellenbosch : Stellenbosch University","source":"scholar.sun.ac.za","title":"Processes and drivers of &lt;i&gt;Prosopis&lt;/i&gt; invasions in Eastern Africa","author":[{"family":"Castillo","given":"Maria Loreto"}],"accessed":{"date-parts":[["2021",4,12]]},"issued":{"date-parts":[["2019",12]]}},"label":"page"}],"schema":"https://github.com/citation-style-language/schema/raw/master/csl-citation.json"} </w:instrText>
            </w:r>
            <w:r w:rsidRPr="00837161">
              <w:rPr>
                <w:rFonts w:eastAsia="Calibri"/>
              </w:rPr>
              <w:fldChar w:fldCharType="separate"/>
            </w:r>
            <w:r w:rsidRPr="00271B78">
              <w:t>(Castillo, 2019)</w:t>
            </w:r>
            <w:r w:rsidRPr="00837161">
              <w:rPr>
                <w:rFonts w:eastAsia="Calibri"/>
              </w:rPr>
              <w:fldChar w:fldCharType="end"/>
            </w:r>
            <w:r w:rsidRPr="00837161">
              <w:rPr>
                <w:rFonts w:eastAsia="Calibri"/>
              </w:rPr>
              <w:t>.</w:t>
            </w:r>
          </w:p>
          <w:p w:rsidR="00C7596C" w:rsidRPr="00C0338D" w:rsidRDefault="00C7596C" w:rsidP="004F6786">
            <w:r w:rsidRPr="00C0338D">
              <w:t xml:space="preserve">The use of </w:t>
            </w:r>
            <w:r w:rsidRPr="00C0338D">
              <w:rPr>
                <w:i/>
              </w:rPr>
              <w:t xml:space="preserve">Prosopis </w:t>
            </w:r>
            <w:proofErr w:type="spellStart"/>
            <w:r w:rsidRPr="00C0338D">
              <w:rPr>
                <w:i/>
              </w:rPr>
              <w:t>juliflora</w:t>
            </w:r>
            <w:proofErr w:type="spellEnd"/>
            <w:r w:rsidRPr="00C0338D">
              <w:t xml:space="preserve"> is a socio-economic concern in southern India where management is a complex issue as charcoal from the tree is a source of income for local people </w:t>
            </w:r>
            <w:r w:rsidRPr="00837161">
              <w:fldChar w:fldCharType="begin"/>
            </w:r>
            <w:r>
              <w:instrText xml:space="preserve"> ADDIN ZOTERO_ITEM CSL_CITATION {"citationID":"YvvaFeIA","properties":{"formattedCitation":"(Walter &amp; Armstrong, 2014)","plainCitation":"(Walter &amp; Armstrong, 2014)","noteIndex":0},"citationItems":[{"id":30481,"uris":["http://zotero.org/groups/2352922/items/D5VFK5UZ"],"itemData":{"id":30481,"type":"article-journal","container-title":"Forests, Trees and Livelihoods","DOI":"10.1080/14728028.2014.919880","ISSN":"1472-8028, 2164-3075","issue":"4","journalAbbreviation":"Forests, Trees and Livelihoods","language":"en","page":"232-247","source":"DOI.org (Crossref)","title":"Benefits, threats and potential of &lt;i&gt;Prosopis&lt;/i&gt; in South India","URL":"http://www.tandfonline.com/doi/abs/10.1080/14728028.2014.919880","volume":"23","author":[{"family":"Walter","given":"Kurt J."},{"family":"Armstrong","given":"Karen V."}],"accessed":{"date-parts":[["2019",11,5]]},"issued":{"date-parts":[["2014",10,2]]}},"label":"page"}],"schema":"https://github.com/citation-style-language/schema/raw/master/csl-citation.json"} </w:instrText>
            </w:r>
            <w:r w:rsidRPr="00837161">
              <w:fldChar w:fldCharType="separate"/>
            </w:r>
            <w:r w:rsidRPr="00271B78">
              <w:t>(Walter &amp; Armstrong, 2014)</w:t>
            </w:r>
            <w:r w:rsidRPr="00837161">
              <w:fldChar w:fldCharType="end"/>
            </w:r>
            <w:r w:rsidRPr="00837161">
              <w:t>.</w:t>
            </w:r>
            <w:r w:rsidRPr="00C0338D">
              <w:t xml:space="preserve"> Increased use of the wood through proper silvicultural management was proposed to control spread.</w:t>
            </w:r>
          </w:p>
        </w:tc>
      </w:tr>
      <w:tr w:rsidR="00C7596C" w:rsidTr="004F6786">
        <w:tc>
          <w:tcPr>
            <w:tcW w:w="1536" w:type="dxa"/>
          </w:tcPr>
          <w:p w:rsidR="00C7596C" w:rsidRPr="00C0338D" w:rsidRDefault="00C7596C" w:rsidP="004F6786">
            <w:r w:rsidRPr="00837161">
              <w:lastRenderedPageBreak/>
              <w:t xml:space="preserve">Grasses and legumes (8200 species; </w:t>
            </w:r>
            <w:r w:rsidRPr="00837161">
              <w:fldChar w:fldCharType="begin"/>
            </w:r>
            <w:r>
              <w:instrText xml:space="preserve"> ADDIN ZOTERO_ITEM CSL_CITATION {"citationID":"0yeVxVl5","properties":{"formattedCitation":"(V. M. Adams &amp; Setterfield, 2015; G. D. Cook &amp; Dias, 2006)","plainCitation":"(V. M. Adams &amp; Setterfield, 2015; G. D. Cook &amp; Dias, 2006)","dontUpdate":true,"noteIndex":0},"citationItems":[{"id":16501,"uris":["http://zotero.org/groups/2352922/items/RHQZVGY3"],"itemData":{"id":16501,"type":"article-journal","abstract":"The social, economic, and environmental impacts of invasive plants are well recognized. However, these variable impacts are rarely accounted for in the spatial prioritization of funding for weed management. We examine how current spatially explicit prioritization methods can be extended to identify optimal budget allocations to both eradication and control measures of invasive species to minimize the costs and likelihood of invasion. Our framework extends recent approaches to systematic prioritization of weed management to account for multiple values that are threatened by weed invasions with a multi-year dynamic prioritization approach. We apply our method to the northern portion of the Daly catchment in the Northern Territory, which has significant conservation values that are threatened by gamba grass (Andropogon gayanus), a highly invasive species recognized by the Australian government as a Weed of National Significance (WONS). We interface Marxan, a widely applied conservation planning tool, with a dynamic biophysical model of gamba grass to optimally allocate funds to eradication and control programs under two budget scenarios comparing maximizing gain (MaxGain) and minimizing loss (MinLoss) optimization approaches. The prioritizations support previous findings that a MinLoss approach is a better strategy when threats are more spatially variable than conservation values. Over a 10-year simulation period, we find that a MinLoss approach reduces future infestations by </w:instrText>
            </w:r>
            <w:r>
              <w:rPr>
                <w:rFonts w:ascii="ＭＳ 明朝" w:eastAsia="ＭＳ 明朝" w:hAnsi="ＭＳ 明朝" w:cs="ＭＳ 明朝" w:hint="eastAsia"/>
              </w:rPr>
              <w:instrText>∼</w:instrText>
            </w:r>
            <w:r>
              <w:instrText xml:space="preserve">8% compared to MaxGain in the constrained budget scenarios and </w:instrText>
            </w:r>
            <w:r>
              <w:rPr>
                <w:rFonts w:ascii="ＭＳ 明朝" w:eastAsia="ＭＳ 明朝" w:hAnsi="ＭＳ 明朝" w:cs="ＭＳ 明朝" w:hint="eastAsia"/>
              </w:rPr>
              <w:instrText>∼</w:instrText>
            </w:r>
            <w:r>
              <w:instrText xml:space="preserve">12% in the unlimited budget scenarios. We find that due to the extensive current invasion and rapid rate of spread, allocating the annual budget to control efforts is more efficient than funding eradication efforts when there is a constrained budget. Under a constrained budget, applying the most efficient optimization scenario (control, minloss) reduces spread by </w:instrText>
            </w:r>
            <w:r>
              <w:rPr>
                <w:rFonts w:ascii="ＭＳ 明朝" w:eastAsia="ＭＳ 明朝" w:hAnsi="ＭＳ 明朝" w:cs="ＭＳ 明朝" w:hint="eastAsia"/>
              </w:rPr>
              <w:instrText>∼</w:instrText>
            </w:r>
            <w:r>
              <w:instrText xml:space="preserve">27% compared to no control. Conversely, if the budget is unlimited it is more efficient to fund eradication efforts and reduces spread by </w:instrText>
            </w:r>
            <w:r>
              <w:rPr>
                <w:rFonts w:ascii="ＭＳ 明朝" w:eastAsia="ＭＳ 明朝" w:hAnsi="ＭＳ 明朝" w:cs="ＭＳ 明朝" w:hint="eastAsia"/>
              </w:rPr>
              <w:instrText>∼</w:instrText>
            </w:r>
            <w:r>
              <w:instrText xml:space="preserve">65% compared to no control. © 2015 by the Ecological Society of America.","container-title":"Ecological Applications","DOI":"10.1890/14-1062.1","issue":"4","page":"1131-1141","title":"Optimal dynamic control of invasions: Applying a systematic conservation approach","URL":"https://doi.org/10.1890/14-1062.1","volume":"25","author":[{"family":"Adams","given":"V. M."},{"family":"Setterfield","given":"S.A."}],"issued":{"date-parts":[["2015"]]}},"label":"page"},{"id":32944,"uris":["http://zotero.org/groups/2352922/items/QGKNGZRV"],"itemData":{"id":32944,"type":"article-journal","abstract":"The weedy potential of deliberately introduced plants has been a growing concern in Australia since the late 1980s. Although introduced plants are critical to Australia’s agricultural and livestock production, many species that were praised in the past are now declared agricultural and environmental weeds. Nevertheless, weeds researchers appear largely ignorant of the magnitude and intent of plant introductions for agricultural purposes as well as the legacy of unwanted plants. Across more than 70 years, Commonwealth Plant Introductions comprised 145 000 accessions of more than 8200 species. These species include more than 2200 grass (Poaceae) and 2200 legume species (Fabaceae sensu stricto), representing about twice the indigenous flora in those families and about 22 and 18%, respectively, of the global flora of grasses and legumes. For most of the 20th century, these and other introductions supported research into continental-scale transformation of Australian landscapes to support greatly increased pastoral productivity in order to achieve policy goals of maximum density of human population. This paper documents some of the scientific developments and debates that affected the plant-introduction program. We argue that recent developments in weed science and policy need to be informed by a better understanding of plant-introduction history.","container-title":"Australian Journal of Botany","DOI":"10.1071/BT05157","ISSN":"0067-1924","issue":"7","journalAbbreviation":"Aust. J. Bot.","language":"en","page":"601-625","source":"DOI.org (Crossref)","title":"It was no accident: deliberate plant introductions by Australian government agencies during the 20th century","title-short":"It was no accident","URL":"http://www.publish.csiro.au/?paper=BT05157","volume":"54","author":[{"family":"Cook","given":"Garry D."},{"family":"Dias","given":"Lesley"}],"accessed":{"date-parts":[["2021",11,18]]},"issued":{"date-parts":[["2006"]]}},"label":"page"}],"schema":"https://github.com/citation-style-language/schema/raw/master/csl-citation.json"} </w:instrText>
            </w:r>
            <w:r w:rsidRPr="00837161">
              <w:fldChar w:fldCharType="separate"/>
            </w:r>
            <w:r w:rsidRPr="00837161">
              <w:t>V. M. Adams &amp; Setterfield, 2015; G. D. Cook &amp; Dias, 2006)</w:t>
            </w:r>
            <w:r w:rsidRPr="00837161">
              <w:fldChar w:fldCharType="end"/>
            </w:r>
            <w:r w:rsidRPr="00837161">
              <w:t xml:space="preserve"> </w:t>
            </w:r>
          </w:p>
        </w:tc>
        <w:tc>
          <w:tcPr>
            <w:tcW w:w="1376" w:type="dxa"/>
          </w:tcPr>
          <w:p w:rsidR="00C7596C" w:rsidRPr="002F2F42" w:rsidRDefault="00C7596C" w:rsidP="004F6786">
            <w:pPr>
              <w:rPr>
                <w:color w:val="000000" w:themeColor="text1"/>
              </w:rPr>
            </w:pPr>
            <w:r w:rsidRPr="00C0338D">
              <w:t>Terrestrial plant</w:t>
            </w:r>
          </w:p>
        </w:tc>
        <w:tc>
          <w:tcPr>
            <w:tcW w:w="1476" w:type="dxa"/>
            <w:shd w:val="clear" w:color="auto" w:fill="auto"/>
          </w:tcPr>
          <w:p w:rsidR="00C7596C" w:rsidRPr="00C0338D" w:rsidRDefault="00C7596C" w:rsidP="004F6786">
            <w:r w:rsidRPr="00C0338D">
              <w:t xml:space="preserve">Australasia </w:t>
            </w:r>
          </w:p>
        </w:tc>
        <w:tc>
          <w:tcPr>
            <w:tcW w:w="1469" w:type="dxa"/>
            <w:shd w:val="clear" w:color="auto" w:fill="auto"/>
          </w:tcPr>
          <w:p w:rsidR="00C7596C" w:rsidRPr="00C0338D" w:rsidRDefault="00C7596C" w:rsidP="004F6786">
            <w:r w:rsidRPr="00C0338D">
              <w:t>All continents</w:t>
            </w:r>
          </w:p>
        </w:tc>
        <w:tc>
          <w:tcPr>
            <w:tcW w:w="1656" w:type="dxa"/>
            <w:shd w:val="clear" w:color="auto" w:fill="auto"/>
          </w:tcPr>
          <w:p w:rsidR="00C7596C" w:rsidRPr="00C0338D" w:rsidRDefault="00C7596C" w:rsidP="004F6786">
            <w:r w:rsidRPr="00C0338D">
              <w:t>For pastoral improvement</w:t>
            </w:r>
          </w:p>
        </w:tc>
        <w:tc>
          <w:tcPr>
            <w:tcW w:w="2107" w:type="dxa"/>
            <w:shd w:val="clear" w:color="auto" w:fill="auto"/>
          </w:tcPr>
          <w:p w:rsidR="00C7596C" w:rsidRPr="00C0338D" w:rsidRDefault="00C7596C" w:rsidP="004F6786">
            <w:r w:rsidRPr="00837161">
              <w:rPr>
                <w:lang w:eastAsia="ja-JP"/>
              </w:rPr>
              <w:t xml:space="preserve">Of all the species introduced, twice as many became invasive alien species than became useful </w:t>
            </w:r>
            <w:r w:rsidRPr="00837161">
              <w:rPr>
                <w:lang w:eastAsia="ja-JP"/>
              </w:rPr>
              <w:fldChar w:fldCharType="begin"/>
            </w:r>
            <w:r>
              <w:rPr>
                <w:lang w:eastAsia="ja-JP"/>
              </w:rPr>
              <w:instrText xml:space="preserve"> ADDIN ZOTERO_ITEM CSL_CITATION {"citationID":"4JZGfsu2","properties":{"formattedCitation":"(Lonsdale, 1994)","plainCitation":"(Lonsdale, 1994)","noteIndex":0},"citationItems":[{"id":31449,"uris":["http://zotero.org/groups/2352922/items/7BLFHV9X"],"itemData":{"id":31449,"type":"article-journal","container-title":"Australian Journal of Ecology","DOI":"10.1111/j.1442-9993.1994.tb00498.x","issue":"3","page":"345-354","title":"Inviting trouble: Introduced pasture species in northern Australia","URL":"https://onlinelibrary.wiley.com/doi/abs/10.1111/j.1442-9993.1994.tb00498.x","volume":"19","author":[{"family":"Lonsdale","given":"W M"}],"accessed":{"date-parts":[["2021",8,22]]},"issued":{"date-parts":[["1994",9]]}},"label":"page"}],"schema":"https://github.com/citation-style-language/schema/raw/master/csl-citation.json"} </w:instrText>
            </w:r>
            <w:r w:rsidRPr="00837161">
              <w:rPr>
                <w:lang w:eastAsia="ja-JP"/>
              </w:rPr>
              <w:fldChar w:fldCharType="separate"/>
            </w:r>
            <w:r w:rsidRPr="00271B78">
              <w:t>(Lonsdale, 1994)</w:t>
            </w:r>
            <w:r w:rsidRPr="00837161">
              <w:rPr>
                <w:lang w:eastAsia="ja-JP"/>
              </w:rPr>
              <w:fldChar w:fldCharType="end"/>
            </w:r>
            <w:r w:rsidRPr="00837161">
              <w:rPr>
                <w:lang w:eastAsia="ja-JP"/>
              </w:rPr>
              <w:t xml:space="preserve">. Management options are being </w:t>
            </w:r>
            <w:r w:rsidRPr="00837161">
              <w:rPr>
                <w:lang w:eastAsia="ja-JP"/>
              </w:rPr>
              <w:lastRenderedPageBreak/>
              <w:t xml:space="preserve">developed for two species, </w:t>
            </w:r>
            <w:proofErr w:type="spellStart"/>
            <w:r w:rsidRPr="00837161">
              <w:rPr>
                <w:i/>
                <w:iCs/>
                <w:lang w:eastAsia="ja-JP"/>
              </w:rPr>
              <w:t>Andropogon</w:t>
            </w:r>
            <w:proofErr w:type="spellEnd"/>
            <w:r w:rsidRPr="00837161">
              <w:rPr>
                <w:i/>
                <w:iCs/>
                <w:lang w:eastAsia="ja-JP"/>
              </w:rPr>
              <w:t xml:space="preserve"> </w:t>
            </w:r>
            <w:proofErr w:type="spellStart"/>
            <w:r w:rsidRPr="00837161">
              <w:rPr>
                <w:i/>
                <w:iCs/>
                <w:lang w:eastAsia="ja-JP"/>
              </w:rPr>
              <w:t>gayanus</w:t>
            </w:r>
            <w:proofErr w:type="spellEnd"/>
            <w:r w:rsidRPr="00837161">
              <w:rPr>
                <w:lang w:eastAsia="ja-JP"/>
              </w:rPr>
              <w:t xml:space="preserve"> (</w:t>
            </w:r>
            <w:proofErr w:type="spellStart"/>
            <w:r>
              <w:rPr>
                <w:lang w:eastAsia="ja-JP"/>
              </w:rPr>
              <w:t>t</w:t>
            </w:r>
            <w:r w:rsidRPr="00837161">
              <w:rPr>
                <w:lang w:eastAsia="ja-JP"/>
              </w:rPr>
              <w:t>ambuki</w:t>
            </w:r>
            <w:proofErr w:type="spellEnd"/>
            <w:r w:rsidRPr="00837161">
              <w:rPr>
                <w:lang w:eastAsia="ja-JP"/>
              </w:rPr>
              <w:t xml:space="preserve"> grass;</w:t>
            </w:r>
            <w:r w:rsidRPr="00837161">
              <w:rPr>
                <w:i/>
                <w:iCs/>
                <w:lang w:eastAsia="ja-JP"/>
              </w:rPr>
              <w:t xml:space="preserve"> </w:t>
            </w:r>
            <w:r w:rsidRPr="00837161">
              <w:rPr>
                <w:lang w:eastAsia="ja-JP"/>
              </w:rPr>
              <w:fldChar w:fldCharType="begin"/>
            </w:r>
            <w:r>
              <w:rPr>
                <w:lang w:eastAsia="ja-JP"/>
              </w:rPr>
              <w:instrText xml:space="preserve"> ADDIN ZOTERO_ITEM CSL_CITATION {"citationID":"zQEEMEG0","properties":{"formattedCitation":"(V. M. Adams &amp; Setterfield, 2015)","plainCitation":"(V. M. Adams &amp; Setterfield, 2015)","dontUpdate":true,"noteIndex":0},"citationItems":[{"id":16501,"uris":["http://zotero.org/groups/2352922/items/RHQZVGY3"],"itemData":{"id":16501,"type":"article-journal","abstract":"The social, economic, and environmental impacts of invasive plants are well recognized. However, these variable impacts are rarely accounted for in the spatial prioritization of funding for weed management. We examine how current spatially explicit prioritization methods can be extended to identify optimal budget allocations to both eradication and control measures of invasive species to minimize the costs and likelihood of invasion. Our framework extends recent approaches to systematic prioritization of weed management to account for multiple values that are threatened by weed invasions with a multi-year dynamic prioritization approach. We apply our method to the northern portion of the Daly catchment in the Northern Territory, which has significant conservation values that are threatened by gamba grass (Andropogon gayanus), a highly invasive species recognized by the Australian government as a Weed of National Significance (WONS). We interface Marxan, a widely applied conservation planning tool, with a dynamic biophysical model of gamba grass to optimally allocate funds to eradication and control programs under two budget scenarios comparing maximizing gain (MaxGain) and minimizing loss (MinLoss) optimization approaches. The prioritizations support previous findings that a MinLoss approach is a better strategy when threats are more spatially variable than conservation values. Over a 10-year simulation period, we find that a MinLoss approach reduces future infestations by </w:instrText>
            </w:r>
            <w:r>
              <w:rPr>
                <w:rFonts w:ascii="ＭＳ 明朝" w:eastAsia="ＭＳ 明朝" w:hAnsi="ＭＳ 明朝" w:cs="ＭＳ 明朝" w:hint="eastAsia"/>
                <w:lang w:eastAsia="ja-JP"/>
              </w:rPr>
              <w:instrText>∼</w:instrText>
            </w:r>
            <w:r>
              <w:rPr>
                <w:lang w:eastAsia="ja-JP"/>
              </w:rPr>
              <w:instrText xml:space="preserve">8% compared to MaxGain in the constrained budget scenarios and </w:instrText>
            </w:r>
            <w:r>
              <w:rPr>
                <w:rFonts w:ascii="ＭＳ 明朝" w:eastAsia="ＭＳ 明朝" w:hAnsi="ＭＳ 明朝" w:cs="ＭＳ 明朝" w:hint="eastAsia"/>
                <w:lang w:eastAsia="ja-JP"/>
              </w:rPr>
              <w:instrText>∼</w:instrText>
            </w:r>
            <w:r>
              <w:rPr>
                <w:lang w:eastAsia="ja-JP"/>
              </w:rPr>
              <w:instrText xml:space="preserve">12% in the unlimited budget scenarios. We find that due to the extensive current invasion and rapid rate of spread, allocating the annual budget to control efforts is more efficient than funding eradication efforts when there is a constrained budget. Under a constrained budget, applying the most efficient optimization scenario (control, minloss) reduces spread by </w:instrText>
            </w:r>
            <w:r>
              <w:rPr>
                <w:rFonts w:ascii="ＭＳ 明朝" w:eastAsia="ＭＳ 明朝" w:hAnsi="ＭＳ 明朝" w:cs="ＭＳ 明朝" w:hint="eastAsia"/>
                <w:lang w:eastAsia="ja-JP"/>
              </w:rPr>
              <w:instrText>∼</w:instrText>
            </w:r>
            <w:r>
              <w:rPr>
                <w:lang w:eastAsia="ja-JP"/>
              </w:rPr>
              <w:instrText xml:space="preserve">27% compared to no control. Conversely, if the budget is unlimited it is more efficient to fund eradication efforts and reduces spread by </w:instrText>
            </w:r>
            <w:r>
              <w:rPr>
                <w:rFonts w:ascii="ＭＳ 明朝" w:eastAsia="ＭＳ 明朝" w:hAnsi="ＭＳ 明朝" w:cs="ＭＳ 明朝" w:hint="eastAsia"/>
                <w:lang w:eastAsia="ja-JP"/>
              </w:rPr>
              <w:instrText>∼</w:instrText>
            </w:r>
            <w:r>
              <w:rPr>
                <w:lang w:eastAsia="ja-JP"/>
              </w:rPr>
              <w:instrText xml:space="preserve">65% compared to no control. © 2015 by the Ecological Society of America.","container-title":"Ecological Applications","DOI":"10.1890/14-1062.1","issue":"4","page":"1131-1141","title":"Optimal dynamic control of invasions: Applying a systematic conservation approach","URL":"https://doi.org/10.1890/14-1062.1","volume":"25","author":[{"family":"Adams","given":"V. M."},{"family":"Setterfield","given":"S.A."}],"issued":{"date-parts":[["2015"]]}}}],"schema":"https://github.com/citation-style-language/schema/raw/master/csl-citation.json"} </w:instrText>
            </w:r>
            <w:r w:rsidRPr="00837161">
              <w:rPr>
                <w:lang w:eastAsia="ja-JP"/>
              </w:rPr>
              <w:fldChar w:fldCharType="separate"/>
            </w:r>
            <w:r w:rsidRPr="00837161">
              <w:t>V. M. Adams &amp; Setterfield, 2015)</w:t>
            </w:r>
            <w:r w:rsidRPr="00837161">
              <w:rPr>
                <w:lang w:eastAsia="ja-JP"/>
              </w:rPr>
              <w:fldChar w:fldCharType="end"/>
            </w:r>
            <w:r w:rsidRPr="00837161">
              <w:rPr>
                <w:lang w:eastAsia="ja-JP"/>
              </w:rPr>
              <w:t xml:space="preserve"> and </w:t>
            </w:r>
            <w:proofErr w:type="spellStart"/>
            <w:r w:rsidRPr="00837161">
              <w:rPr>
                <w:i/>
                <w:iCs/>
                <w:lang w:eastAsia="ja-JP"/>
              </w:rPr>
              <w:t>Cenchrus</w:t>
            </w:r>
            <w:proofErr w:type="spellEnd"/>
            <w:r w:rsidRPr="00837161">
              <w:rPr>
                <w:i/>
                <w:iCs/>
                <w:lang w:eastAsia="ja-JP"/>
              </w:rPr>
              <w:t xml:space="preserve"> </w:t>
            </w:r>
            <w:proofErr w:type="spellStart"/>
            <w:r w:rsidRPr="00837161">
              <w:rPr>
                <w:i/>
                <w:iCs/>
                <w:lang w:eastAsia="ja-JP"/>
              </w:rPr>
              <w:t>ciliaris</w:t>
            </w:r>
            <w:proofErr w:type="spellEnd"/>
            <w:r w:rsidRPr="00837161">
              <w:rPr>
                <w:lang w:eastAsia="ja-JP"/>
              </w:rPr>
              <w:t xml:space="preserve"> (</w:t>
            </w:r>
            <w:proofErr w:type="spellStart"/>
            <w:r>
              <w:rPr>
                <w:lang w:eastAsia="ja-JP"/>
              </w:rPr>
              <w:t>b</w:t>
            </w:r>
            <w:r w:rsidRPr="00837161">
              <w:rPr>
                <w:lang w:eastAsia="ja-JP"/>
              </w:rPr>
              <w:t>uffel</w:t>
            </w:r>
            <w:proofErr w:type="spellEnd"/>
            <w:r w:rsidRPr="00837161">
              <w:rPr>
                <w:lang w:eastAsia="ja-JP"/>
              </w:rPr>
              <w:t xml:space="preserve"> grass; </w:t>
            </w:r>
            <w:r w:rsidRPr="00837161">
              <w:rPr>
                <w:lang w:eastAsia="ja-JP"/>
              </w:rPr>
              <w:fldChar w:fldCharType="begin"/>
            </w:r>
            <w:r>
              <w:rPr>
                <w:lang w:eastAsia="ja-JP"/>
              </w:rPr>
              <w:instrText xml:space="preserve"> ADDIN ZOTERO_ITEM CSL_CITATION {"citationID":"BeM97ioo","properties":{"formattedCitation":"(Grice et al., 2012)","plainCitation":"(Grice et al., 2012)","dontUpdate":true,"noteIndex":0},"citationItems":[{"id":53167,"uris":["http://zotero.org/groups/2352922/items/J2IJR2VN"],"itemData":{"id":53167,"type":"paper-conference","container-title":"Developing solutions to evolving weed problems. 18th Australasian Weeds Conference","event-place":"Melbourne, Victoria, Australia","event-title":"Developing solutions to evolving weed problems. 18th Australasian Weeds Conference","ISBN":"978-1-62993-288-0","page":"320-324","publisher":"Weed Science Society of Victoria Inc.","publisher-place":"Melbourne, Victoria, Australia","title":"Containment: the state of play","URL":"https://caws.org.nz/old-site/awc/2012/awc201213201.pdf","author":[{"family":"Grice","given":"A. C."},{"family":"Clarkson","given":"J. R."},{"family":"Friedel","given":"M. H."},{"family":"Murphy","given":"H. T."},{"family":"Fletcher","given":"C. S."},{"family":"Westcott","given":"D. A."}],"issued":{"date-parts":[["2012"]]}},"label":"page"}],"schema":"https://github.com/citation-style-language/schema/raw/master/csl-citation.json"} </w:instrText>
            </w:r>
            <w:r w:rsidRPr="00837161">
              <w:rPr>
                <w:lang w:eastAsia="ja-JP"/>
              </w:rPr>
              <w:fldChar w:fldCharType="separate"/>
            </w:r>
            <w:r w:rsidRPr="00837161">
              <w:t xml:space="preserve">Grice </w:t>
            </w:r>
            <w:r w:rsidR="00FD691F" w:rsidRPr="00FD691F">
              <w:rPr>
                <w:i/>
              </w:rPr>
              <w:t>et al</w:t>
            </w:r>
            <w:r w:rsidRPr="00837161">
              <w:t>., 2012)</w:t>
            </w:r>
            <w:r w:rsidRPr="00837161">
              <w:rPr>
                <w:lang w:eastAsia="ja-JP"/>
              </w:rPr>
              <w:fldChar w:fldCharType="end"/>
            </w:r>
          </w:p>
        </w:tc>
      </w:tr>
      <w:tr w:rsidR="00C7596C" w:rsidTr="004F6786">
        <w:tc>
          <w:tcPr>
            <w:tcW w:w="1536" w:type="dxa"/>
          </w:tcPr>
          <w:p w:rsidR="00C7596C" w:rsidRPr="00C0338D" w:rsidRDefault="00C7596C" w:rsidP="004F6786">
            <w:r w:rsidRPr="00837161">
              <w:lastRenderedPageBreak/>
              <w:t xml:space="preserve">33 </w:t>
            </w:r>
            <w:r w:rsidRPr="00837161">
              <w:rPr>
                <w:i/>
                <w:iCs/>
              </w:rPr>
              <w:t>Acacia</w:t>
            </w:r>
            <w:r w:rsidRPr="00837161">
              <w:t xml:space="preserve"> spp. including </w:t>
            </w:r>
            <w:r w:rsidRPr="00837161">
              <w:rPr>
                <w:i/>
                <w:iCs/>
              </w:rPr>
              <w:t xml:space="preserve">Acacia </w:t>
            </w:r>
            <w:proofErr w:type="spellStart"/>
            <w:r w:rsidRPr="00837161">
              <w:rPr>
                <w:i/>
                <w:iCs/>
              </w:rPr>
              <w:t>mearnsii</w:t>
            </w:r>
            <w:proofErr w:type="spellEnd"/>
            <w:r w:rsidRPr="00837161">
              <w:t xml:space="preserve"> (black wattle; </w:t>
            </w:r>
            <w:r w:rsidRPr="00837161">
              <w:fldChar w:fldCharType="begin"/>
            </w:r>
            <w:r>
              <w:instrText xml:space="preserve"> ADDIN ZOTERO_ITEM CSL_CITATION {"citationID":"Jad57N4v","properties":{"formattedCitation":"(Magona et al., 2018)","plainCitation":"(Magona et al., 2018)","dontUpdate":true,"noteIndex":0},"citationItems":[{"id":30466,"uris":["http://zotero.org/groups/2352922/items/HLIUQQ9L"],"itemData":{"id":30466,"type":"article-journal","abstract":"Understanding the status and extent of spread of alien plants is crucial for effective management. We explore this issue using Australian Acacia species (wattles) in South Africa (a global hotspot for wattle introductions and tree invasions). The last detailed inventory of wattles in South Africa was based on data collated forty years ago. This paper aimed to determine: 1) how many Australian Acacia species have been introduced to South Africa; 2) which species are still present; and 3) the status of naturalised taxa that might be viable targets for eradication. All herbaria in South Africa with specimens of introduced Australian Acacia species were visited and locality records were compared with records from literature sources, various databases, and expert knowledge. For taxa not already known to be widespread invaders, field surveys were conducted to determine whether plants are still present, and detailed surveys were undertaken of all naturalised populations. To confirm the putative identities of the naturalised taxa, we also sequenced one nuclear and one chloroplast gene. We found evidence that 141 Australian Acacia species have been introduced to South Africa (approximately double the estimate from previous work), but we could only confirm the current presence of 33 species. Fifteen wattle species are invasive (13 are in category E and two in category D2 in the Unified Framework for Biological Invasions); five have naturalised (C3); and 13 are present but there was no evidence that they had produced reproductive offspring (B2 or C1). DNA barcoding provided strong support for only 23 taxa (including two species not previously recorded from South Africa), the current name ascribed was not supported for three species and, for a further three species, there was no voucher specimen on GenBank against which their identity could be checked. Given the omissions and errors found during this systematic re-evaluation of historical records, it is clear that analyses of the type conducted here are crucial if the status of even well-studied groups of alien taxa is to be accurately determined.","container-title":"NeoBiota","DOI":"10.3897/neobiota.39.23135","ISSN":"1314-2488","language":"en","license":"2021Nkoliso Magona, David M. Richardson, Johannes J. Le Roux, Suzaan Kritzinger-Klopper, John R. U. Wilson","note":"publisher: Pensoft Publishers","page":"1-29","source":"neobiota.pensoft.net","title":"Even well-studied groups of alien species might be poorly inventoried: Australian &lt;i&gt;Acacia&lt;/i&gt; species in South Africa as a case study","title-short":"Even well-studied groups of alien species might be poorly inventoried","URL":"https://neobiota.pensoft.net/article/23135/","volume":"39","author":[{"family":"Magona","given":"Nkoliso"},{"family":"Richardson","given":"David M."},{"family":"Le Roux","given":"Johannes J."},{"family":"Kritzinger-Klopper","given":"Suzaan"},{"family":"Wilson","given":"John R. U."}],"accessed":{"date-parts":[["2021",8,22]]},"issued":{"date-parts":[["2018",6,26]]}},"label":"page"}],"schema":"https://github.com/citation-style-language/schema/raw/master/csl-citation.json"} </w:instrText>
            </w:r>
            <w:r w:rsidRPr="00837161">
              <w:fldChar w:fldCharType="separate"/>
            </w:r>
            <w:proofErr w:type="spellStart"/>
            <w:r w:rsidRPr="00837161">
              <w:t>Magona</w:t>
            </w:r>
            <w:proofErr w:type="spellEnd"/>
            <w:r w:rsidRPr="00837161">
              <w:t xml:space="preserve"> </w:t>
            </w:r>
            <w:r w:rsidR="00FD691F" w:rsidRPr="00FD691F">
              <w:rPr>
                <w:i/>
              </w:rPr>
              <w:t>et al</w:t>
            </w:r>
            <w:r w:rsidRPr="00837161">
              <w:t>., 2018)</w:t>
            </w:r>
            <w:r w:rsidRPr="00837161">
              <w:fldChar w:fldCharType="end"/>
            </w:r>
          </w:p>
        </w:tc>
        <w:tc>
          <w:tcPr>
            <w:tcW w:w="1376" w:type="dxa"/>
          </w:tcPr>
          <w:p w:rsidR="00C7596C" w:rsidRPr="00C0338D" w:rsidRDefault="00C7596C" w:rsidP="004F6786">
            <w:r w:rsidRPr="00C0338D">
              <w:t xml:space="preserve">Terrestrial trees </w:t>
            </w:r>
          </w:p>
        </w:tc>
        <w:tc>
          <w:tcPr>
            <w:tcW w:w="1476" w:type="dxa"/>
            <w:shd w:val="clear" w:color="auto" w:fill="auto"/>
          </w:tcPr>
          <w:p w:rsidR="00C7596C" w:rsidRPr="00C0338D" w:rsidRDefault="00C7596C" w:rsidP="004F6786">
            <w:r w:rsidRPr="00C0338D">
              <w:t xml:space="preserve">South Africa </w:t>
            </w:r>
          </w:p>
        </w:tc>
        <w:tc>
          <w:tcPr>
            <w:tcW w:w="1469" w:type="dxa"/>
            <w:shd w:val="clear" w:color="auto" w:fill="auto"/>
          </w:tcPr>
          <w:p w:rsidR="00C7596C" w:rsidRPr="00C0338D" w:rsidRDefault="00C7596C" w:rsidP="004F6786">
            <w:r w:rsidRPr="00C0338D">
              <w:t>Australia</w:t>
            </w:r>
          </w:p>
        </w:tc>
        <w:tc>
          <w:tcPr>
            <w:tcW w:w="1656" w:type="dxa"/>
            <w:shd w:val="clear" w:color="auto" w:fill="auto"/>
          </w:tcPr>
          <w:p w:rsidR="00C7596C" w:rsidRPr="00C0338D" w:rsidRDefault="00C7596C" w:rsidP="004F6786">
            <w:r w:rsidRPr="00C0338D">
              <w:t xml:space="preserve">For timber and as ornamentals </w:t>
            </w:r>
          </w:p>
        </w:tc>
        <w:tc>
          <w:tcPr>
            <w:tcW w:w="2107" w:type="dxa"/>
            <w:shd w:val="clear" w:color="auto" w:fill="auto"/>
          </w:tcPr>
          <w:p w:rsidR="00C7596C" w:rsidRPr="00C0338D" w:rsidRDefault="00C7596C" w:rsidP="004F6786">
            <w:r w:rsidRPr="00837161">
              <w:rPr>
                <w:lang w:eastAsia="ja-JP"/>
              </w:rPr>
              <w:t xml:space="preserve">Agreeing and selecting biological control agents that only reduce propagule production (i.e., flower and seed feeding agents; </w:t>
            </w:r>
            <w:r w:rsidRPr="00837161">
              <w:rPr>
                <w:lang w:eastAsia="ja-JP"/>
              </w:rPr>
              <w:fldChar w:fldCharType="begin"/>
            </w:r>
            <w:r>
              <w:rPr>
                <w:lang w:eastAsia="ja-JP"/>
              </w:rPr>
              <w:instrText xml:space="preserve"> ADDIN ZOTERO_ITEM CSL_CITATION {"citationID":"YdjIwchZ","properties":{"formattedCitation":"(Impson et al., 2011, 2021)","plainCitation":"(Impson et al., 2011, 2021)","dontUpdate":true,"noteIndex":0},"citationItems":[{"id":11123,"uris":["http://zotero.org/groups/2352922/items/XFBY9G23"],"itemData":{"id":11123,"type":"article-journal","abstract":"In total, ten agent species have been released in South Africa for the biological control of ten invasive Australian Acacia species and Paraserianthes lophantha (Willd.) Nielsen (Mimosaceae). Besides a single fungal pathogen species which affects both reproductive and vegetative growth of its host plant, Acacia saligna (Labill.) H.L.Wendl., there are nine herbivorous insect species which predominantly suppress the reproductive output of their host plants. These include five seed-feeding weevil species, two flower-galling fly species and two bud-galling wasp species. An indigenous basidiomycete fungus, which causes die-back disease of Acacia cyclops A. Cunn. ex G. Don, has also been investigated. During the last ten years, considerable effort has been directed at searching for new agents in Australia and in collecting additional material to bolster populations of recently-established agents in South Africa. Concurrently, ongoing evaluation studies in South Africa have measured the dynamics of the introduced agents as well as their impact on the vigour and fecundity of their host plants and the extent to which their damage is reducing the density, distribution and invasiveness of the Acacia species. Progress with all of these projects is reviewed.","container-title":"African Entomology","DOI":"10.4001/003.019.0210","ISSN":"1021-3589, 0013-8789","issue":"2","journalAbbreviation":"afen","note":"publisher: Entomological Society of Southern Africa","page":"186-207","source":"bioone.org","title":"Biological Control of Australian Acacia Species and &lt;i&gt;Paraserianthes lophantha&lt;/i&gt; (Willd.) Nielsen (Mimosaceae) in South Africa","URL":"https://bioone.org/journals/african-entomology/volume-19/issue-2/003.019.0210/Biological-Control-of-Australian-Acacia-Species-and-Paraserianthes-lophantha-Willd/10.4001/003.019.0210.full","volume":"19","author":[{"family":"Impson","given":"F. A. C."},{"family":"Kleinjan","given":"C. A."},{"family":"Hoffmann","given":"J. H."},{"family":"Post","given":"J. A."},{"family":"Wood","given":"A. R."}],"accessed":{"date-parts":[["2021",4,12]]},"issued":{"date-parts":[["2011",8]]}},"label":"page"},{"id":54494,"uris":["http://zotero.org/groups/2352922/items/SHBVHJRC"],"itemData":{"id":54494,"type":"article-journal","container-title":"Biological Control","DOI":"https://doi.org/10.1016/j.biocontrol.2020.104503","note":"ISBN: 1049-9644\npublisher: Elsevier","page":"104503","title":"Suppression of seed production as a long-term strategy in weed biological control: The combined impact of two biocontrol agents on &lt;i&gt;Acacia mearnsii&lt;/i&gt; in South Africa","volume":"154","author":[{"family":"Impson","given":"F. A. C."},{"family":"Kleinjan","given":"C. A."},{"family":"Hoffmann","given":"J. H."}],"issued":{"date-parts":[["2021"]]}}}],"schema":"https://github.com/citation-style-language/schema/raw/master/csl-citation.json"} </w:instrText>
            </w:r>
            <w:r w:rsidRPr="00837161">
              <w:rPr>
                <w:lang w:eastAsia="ja-JP"/>
              </w:rPr>
              <w:fldChar w:fldCharType="separate"/>
            </w:r>
            <w:proofErr w:type="spellStart"/>
            <w:r w:rsidRPr="00837161">
              <w:t>Impson</w:t>
            </w:r>
            <w:proofErr w:type="spellEnd"/>
            <w:r w:rsidRPr="00837161">
              <w:t xml:space="preserve"> </w:t>
            </w:r>
            <w:r w:rsidR="00FD691F" w:rsidRPr="00FD691F">
              <w:rPr>
                <w:i/>
              </w:rPr>
              <w:t>et al</w:t>
            </w:r>
            <w:r w:rsidRPr="00837161">
              <w:t>., 2011, 2021)</w:t>
            </w:r>
            <w:r w:rsidRPr="00837161">
              <w:rPr>
                <w:lang w:eastAsia="ja-JP"/>
              </w:rPr>
              <w:fldChar w:fldCharType="end"/>
            </w:r>
            <w:r w:rsidRPr="00837161">
              <w:rPr>
                <w:lang w:eastAsia="ja-JP"/>
              </w:rPr>
              <w:t xml:space="preserve"> </w:t>
            </w:r>
          </w:p>
        </w:tc>
      </w:tr>
      <w:tr w:rsidR="00C7596C" w:rsidTr="004F6786">
        <w:tc>
          <w:tcPr>
            <w:tcW w:w="1536" w:type="dxa"/>
          </w:tcPr>
          <w:p w:rsidR="00C7596C" w:rsidRPr="00C0338D" w:rsidRDefault="00C7596C" w:rsidP="004F6786">
            <w:r w:rsidRPr="00C0338D">
              <w:rPr>
                <w:i/>
              </w:rPr>
              <w:t xml:space="preserve">Bombus </w:t>
            </w:r>
            <w:proofErr w:type="spellStart"/>
            <w:r w:rsidRPr="00C0338D">
              <w:rPr>
                <w:i/>
              </w:rPr>
              <w:t>terrestris</w:t>
            </w:r>
            <w:proofErr w:type="spellEnd"/>
          </w:p>
          <w:p w:rsidR="00C7596C" w:rsidRPr="00C0338D" w:rsidRDefault="00C7596C" w:rsidP="004F6786">
            <w:r w:rsidRPr="00C0338D">
              <w:t>(bumble bee)</w:t>
            </w:r>
          </w:p>
          <w:p w:rsidR="00C7596C" w:rsidRPr="00C0338D" w:rsidRDefault="00C7596C" w:rsidP="004F6786"/>
        </w:tc>
        <w:tc>
          <w:tcPr>
            <w:tcW w:w="1376" w:type="dxa"/>
          </w:tcPr>
          <w:p w:rsidR="00C7596C" w:rsidRPr="00C0338D" w:rsidRDefault="00C7596C" w:rsidP="004F6786">
            <w:r w:rsidRPr="00C0338D">
              <w:t>Invertebrate (Insect)</w:t>
            </w:r>
          </w:p>
          <w:p w:rsidR="00C7596C" w:rsidRPr="00C0338D" w:rsidRDefault="00C7596C" w:rsidP="004F6786"/>
        </w:tc>
        <w:tc>
          <w:tcPr>
            <w:tcW w:w="1476" w:type="dxa"/>
            <w:shd w:val="clear" w:color="auto" w:fill="auto"/>
          </w:tcPr>
          <w:p w:rsidR="00C7596C" w:rsidRPr="00C0338D" w:rsidRDefault="00C7596C" w:rsidP="004F6786">
            <w:r w:rsidRPr="00C0338D">
              <w:t>Japan</w:t>
            </w:r>
          </w:p>
        </w:tc>
        <w:tc>
          <w:tcPr>
            <w:tcW w:w="1469" w:type="dxa"/>
            <w:shd w:val="clear" w:color="auto" w:fill="auto"/>
          </w:tcPr>
          <w:p w:rsidR="00C7596C" w:rsidRPr="00C0338D" w:rsidRDefault="00C7596C" w:rsidP="004F6786">
            <w:r w:rsidRPr="00C0338D">
              <w:t>Africa, Asia and Europe</w:t>
            </w:r>
          </w:p>
        </w:tc>
        <w:tc>
          <w:tcPr>
            <w:tcW w:w="1656" w:type="dxa"/>
            <w:shd w:val="clear" w:color="auto" w:fill="auto"/>
          </w:tcPr>
          <w:p w:rsidR="00C7596C" w:rsidRPr="00C0338D" w:rsidRDefault="00C7596C" w:rsidP="004F6786">
            <w:r w:rsidRPr="00837161">
              <w:t xml:space="preserve">For pollination of commercially important crops </w:t>
            </w:r>
            <w:r w:rsidRPr="00837161">
              <w:rPr>
                <w:lang w:eastAsia="ja-JP"/>
              </w:rPr>
              <w:fldChar w:fldCharType="begin"/>
            </w:r>
            <w:r>
              <w:rPr>
                <w:lang w:eastAsia="ja-JP"/>
              </w:rPr>
              <w:instrText xml:space="preserve"> ADDIN ZOTERO_ITEM CSL_CITATION {"citationID":"LBGcV7Zo","properties":{"formattedCitation":"(Inoue et al., 2008)","plainCitation":"(Inoue et al., 2008)","noteIndex":0},"citationItems":[{"id":22868,"uris":["http://zotero.org/groups/2352922/items/EYM6ULRW"],"itemData":{"id":22868,"type":"article-journal","container-title":"Journal of Insect Conservation","DOI":"10.1007/s10841-007-9071-z","ISSN":"1366-638X, 1572-9753","issue":"2","journalAbbreviation":"J Insect Conserv","language":"en","page":"135-146","source":"DOI.org (Crossref)","title":"Displacement of Japanese native bumblebees by the recently introduced &lt;i&gt;Bombus terrestris&lt;/i&gt; (L.) (Hymenoptera: Apidae)","title-short":"Displacement of Japanese native bumblebees by the recently introduced Bombus terrestris (L.) (Hymenoptera","URL":"http://link.springer.com/10.1007/s10841-007-9071-z","volume":"12","author":[{"family":"Inoue","given":"Maki N."},{"family":"Yokoyama","given":"Jun"},{"family":"Washitani","given":"Izumi"}],"accessed":{"date-parts":[["2020",8,12]]},"issued":{"date-parts":[["2008",4]]}},"label":"page"}],"schema":"https://github.com/citation-style-language/schema/raw/master/csl-citation.json"} </w:instrText>
            </w:r>
            <w:r w:rsidRPr="00837161">
              <w:rPr>
                <w:lang w:eastAsia="ja-JP"/>
              </w:rPr>
              <w:fldChar w:fldCharType="separate"/>
            </w:r>
            <w:r w:rsidRPr="00271B78">
              <w:t xml:space="preserve">(Inoue </w:t>
            </w:r>
            <w:r w:rsidR="00FD691F" w:rsidRPr="00FD691F">
              <w:rPr>
                <w:i/>
              </w:rPr>
              <w:t>et al</w:t>
            </w:r>
            <w:r w:rsidRPr="00271B78">
              <w:t>., 2008)</w:t>
            </w:r>
            <w:r w:rsidRPr="00837161">
              <w:rPr>
                <w:lang w:eastAsia="ja-JP"/>
              </w:rPr>
              <w:fldChar w:fldCharType="end"/>
            </w:r>
          </w:p>
        </w:tc>
        <w:tc>
          <w:tcPr>
            <w:tcW w:w="2107" w:type="dxa"/>
            <w:shd w:val="clear" w:color="auto" w:fill="auto"/>
          </w:tcPr>
          <w:p w:rsidR="00C7596C" w:rsidRPr="00C0338D" w:rsidRDefault="00C7596C" w:rsidP="004F6786">
            <w:r w:rsidRPr="00837161">
              <w:rPr>
                <w:lang w:eastAsia="ja-JP"/>
              </w:rPr>
              <w:t xml:space="preserve">In principle, introduction, breeding and release are prohibited by the Invasive Alien Species Act, but farmers may use bumble bees on the condition that measures to prevent escape be taken and official permission be obtained </w:t>
            </w:r>
            <w:r w:rsidRPr="00837161">
              <w:rPr>
                <w:lang w:eastAsia="ja-JP"/>
              </w:rPr>
              <w:fldChar w:fldCharType="begin"/>
            </w:r>
            <w:r>
              <w:rPr>
                <w:lang w:eastAsia="ja-JP"/>
              </w:rPr>
              <w:instrText xml:space="preserve"> ADDIN ZOTERO_ITEM CSL_CITATION {"citationID":"EjWbTbz3","properties":{"formattedCitation":"(Goka, 2010; Lohrmann et al., 2022)","plainCitation":"(Goka, 2010; Lohrmann et al., 2022)","noteIndex":0},"citationItems":[{"id":31135,"uris":["http://zotero.org/groups/2352922/items/VESTKSAL"],"itemData":{"id":31135,"type":"article-journal","abstract":"The European bumblebee, Bombus terrestris, was introduced into Japan from Europe in 1991 for pollination of tomato plants. Many ecologists had warned of biological invasion by this species, and in 1996 a naturalized colony was found in Hokkaido, indicating that the species had become naturalized. The Ministry of the Environment effected a new law, the Invasive Alien Species Act, in 2005 to protect Japanese native fauna and ﬂora from invasive alien species. Heated arguments arose between conservation ecologists and agriculturalists about whether the law should regulate B. terrestris. To reach a scientiﬁc decision, we began a study to reveal the ecological impacts of B. terrestris and to develop methods to control its naturalization. On the basis of our results, the Ministry of the Environment classiﬁed B. terrestris as invasive and requiring regulation by law, but its use would be permitted on the condition that it be used only for agriculture and that measures to prevent escape be taken. This legal control of B. terrestris in Japan is a revolutionary trial that aims to achieve a state of mutualism between biodiversity and agriculture.","container-title":"Applied Entomology and Zoology","DOI":"10.1303/aez.2010.1","ISSN":"0003-6862, 1347-605X","issue":"1","journalAbbreviation":"Appl. Entomol. Zool.","language":"en","page":"1-6","source":"DOI.org (Crossref)","title":"Introduction to the Special Feature for Ecological Risk Assessment of Introduced Bumblebees: Status of the European bumblebee, &lt;i&gt;Bombus terrestris&lt;/i&gt;, in Japan as a beneficial pollinator and an invasive alien species","title-short":"Introduction to the Special Feature for Ecological Risk Assessment of Introduced Bumblebees","URL":"http://joi.jlc.jst.go.jp/JST.JSTAGE/aez/2010.1?from=CrossRef","volume":"45","author":[{"family":"Goka","given":"Koichi"}],"accessed":{"date-parts":[["2020",8,12]]},"issued":{"date-parts":[["2010"]]}},"label":"page"},{"id":54346,"uris":["http://zotero.org/groups/2352922/items/GFLFSATK"],"itemData":{"id":54346,"type":"article-journal","container-title":"CABI Reviews","DOI":"https://doi.org/10.1079/cabireviews202217006","issue":"2022","note":"ISBN: 1749-8848\npublisher: CABI UK","title":"When bio is not green: the impacts of bumblebee translocation and invasion on native ecosystems","author":[{"family":"Lohrmann","given":"Josefina"},{"family":"Cecchetto","given":"Nicolás R."},{"family":"Aizen","given":"Nahuel"},{"family":"Arbetman","given":"Marina P."},{"family":"Zattara","given":"Eduardo E."}],"issued":{"date-parts":[["2022"]]}},"label":"page"}],"schema":"https://github.com/citation-style-language/schema/raw/master/csl-citation.json"} </w:instrText>
            </w:r>
            <w:r w:rsidRPr="00837161">
              <w:rPr>
                <w:lang w:eastAsia="ja-JP"/>
              </w:rPr>
              <w:fldChar w:fldCharType="separate"/>
            </w:r>
            <w:r w:rsidRPr="00271B78">
              <w:t>(</w:t>
            </w:r>
            <w:proofErr w:type="spellStart"/>
            <w:r w:rsidRPr="00271B78">
              <w:t>Goka</w:t>
            </w:r>
            <w:proofErr w:type="spellEnd"/>
            <w:r w:rsidRPr="00271B78">
              <w:t xml:space="preserve">, 2010; </w:t>
            </w:r>
            <w:proofErr w:type="spellStart"/>
            <w:r w:rsidRPr="00271B78">
              <w:t>Lohrmann</w:t>
            </w:r>
            <w:proofErr w:type="spellEnd"/>
            <w:r w:rsidRPr="00271B78">
              <w:t xml:space="preserve"> </w:t>
            </w:r>
            <w:r w:rsidR="00FD691F" w:rsidRPr="00FD691F">
              <w:rPr>
                <w:i/>
              </w:rPr>
              <w:t>et al</w:t>
            </w:r>
            <w:r w:rsidRPr="00271B78">
              <w:t>., 2022)</w:t>
            </w:r>
            <w:r w:rsidRPr="00837161">
              <w:rPr>
                <w:lang w:eastAsia="ja-JP"/>
              </w:rPr>
              <w:fldChar w:fldCharType="end"/>
            </w:r>
            <w:r w:rsidRPr="00837161">
              <w:rPr>
                <w:lang w:eastAsia="ja-JP"/>
              </w:rPr>
              <w:t>.</w:t>
            </w:r>
          </w:p>
        </w:tc>
      </w:tr>
      <w:tr w:rsidR="00C7596C" w:rsidTr="004F6786">
        <w:tc>
          <w:tcPr>
            <w:tcW w:w="1536" w:type="dxa"/>
          </w:tcPr>
          <w:p w:rsidR="00C7596C" w:rsidRPr="00C0338D" w:rsidRDefault="00C7596C" w:rsidP="004F6786">
            <w:r w:rsidRPr="00C0338D">
              <w:rPr>
                <w:i/>
              </w:rPr>
              <w:t xml:space="preserve">Capra </w:t>
            </w:r>
            <w:proofErr w:type="spellStart"/>
            <w:r w:rsidRPr="00C0338D">
              <w:rPr>
                <w:i/>
              </w:rPr>
              <w:t>hircus</w:t>
            </w:r>
            <w:proofErr w:type="spellEnd"/>
          </w:p>
          <w:p w:rsidR="00C7596C" w:rsidRPr="00C0338D" w:rsidRDefault="00C7596C" w:rsidP="004F6786">
            <w:pPr>
              <w:rPr>
                <w:i/>
              </w:rPr>
            </w:pPr>
            <w:r w:rsidRPr="00C0338D">
              <w:t>(goats)</w:t>
            </w:r>
          </w:p>
        </w:tc>
        <w:tc>
          <w:tcPr>
            <w:tcW w:w="1376" w:type="dxa"/>
          </w:tcPr>
          <w:p w:rsidR="00C7596C" w:rsidRPr="00C0338D" w:rsidRDefault="00C7596C" w:rsidP="004F6786">
            <w:r w:rsidRPr="00C0338D">
              <w:t>Terrestrial mammal</w:t>
            </w:r>
          </w:p>
        </w:tc>
        <w:tc>
          <w:tcPr>
            <w:tcW w:w="1476" w:type="dxa"/>
            <w:shd w:val="clear" w:color="auto" w:fill="auto"/>
          </w:tcPr>
          <w:p w:rsidR="00C7596C" w:rsidRPr="002F2F42" w:rsidRDefault="00C7596C" w:rsidP="004F6786">
            <w:pPr>
              <w:rPr>
                <w:color w:val="000000" w:themeColor="text1"/>
              </w:rPr>
            </w:pPr>
            <w:r w:rsidRPr="00C0338D">
              <w:t>Mexico, Guadalupe Island</w:t>
            </w:r>
          </w:p>
        </w:tc>
        <w:tc>
          <w:tcPr>
            <w:tcW w:w="1469" w:type="dxa"/>
            <w:shd w:val="clear" w:color="auto" w:fill="auto"/>
          </w:tcPr>
          <w:p w:rsidR="00C7596C" w:rsidRPr="002F2F42" w:rsidRDefault="00C7596C" w:rsidP="004F6786">
            <w:pPr>
              <w:rPr>
                <w:color w:val="000000" w:themeColor="text1"/>
              </w:rPr>
            </w:pPr>
            <w:r w:rsidRPr="00C0338D">
              <w:t>Asia</w:t>
            </w:r>
          </w:p>
        </w:tc>
        <w:tc>
          <w:tcPr>
            <w:tcW w:w="1656" w:type="dxa"/>
            <w:shd w:val="clear" w:color="auto" w:fill="auto"/>
          </w:tcPr>
          <w:p w:rsidR="00C7596C" w:rsidRPr="002F2F42" w:rsidRDefault="00C7596C" w:rsidP="004F6786">
            <w:pPr>
              <w:rPr>
                <w:color w:val="000000" w:themeColor="text1"/>
              </w:rPr>
            </w:pPr>
            <w:r w:rsidRPr="00C0338D">
              <w:t>Meat production</w:t>
            </w:r>
          </w:p>
        </w:tc>
        <w:tc>
          <w:tcPr>
            <w:tcW w:w="2107" w:type="dxa"/>
            <w:shd w:val="clear" w:color="auto" w:fill="auto"/>
          </w:tcPr>
          <w:p w:rsidR="00C7596C" w:rsidRPr="00C0338D" w:rsidRDefault="00C7596C" w:rsidP="004F6786">
            <w:pPr>
              <w:rPr>
                <w:color w:val="000000"/>
              </w:rPr>
            </w:pPr>
            <w:r w:rsidRPr="00C0338D">
              <w:t>Goats were introduced in the early 1</w:t>
            </w:r>
            <w:r w:rsidRPr="004F6786">
              <w:t>9</w:t>
            </w:r>
            <w:r w:rsidRPr="00D2715A">
              <w:rPr>
                <w:vertAlign w:val="superscript"/>
              </w:rPr>
              <w:t>t</w:t>
            </w:r>
            <w:r w:rsidRPr="004F6786">
              <w:rPr>
                <w:vertAlign w:val="superscript"/>
              </w:rPr>
              <w:t>h</w:t>
            </w:r>
            <w:r w:rsidRPr="00D2715A">
              <w:t xml:space="preserve"> </w:t>
            </w:r>
            <w:r w:rsidRPr="00C0338D">
              <w:t xml:space="preserve">century by fur traders to </w:t>
            </w:r>
            <w:r w:rsidRPr="00C0338D">
              <w:lastRenderedPageBreak/>
              <w:t xml:space="preserve">have fresh meat. Later, there were permits from Mexico’s government to use the goats as dry meat. Overgrazing by goats decreased forest coverage from 3,850 hectares to 85 hectares, while some vegetation communities disappeared. Because of the latter, with the support of federal government agencies (including the Mexican Navy), the local fishing community and the specialized private organization Grupo de </w:t>
            </w:r>
            <w:proofErr w:type="spellStart"/>
            <w:r w:rsidRPr="00C0338D">
              <w:t>Ecología</w:t>
            </w:r>
            <w:proofErr w:type="spellEnd"/>
            <w:r w:rsidRPr="00C0338D">
              <w:t xml:space="preserve"> y </w:t>
            </w:r>
            <w:proofErr w:type="spellStart"/>
            <w:r w:rsidRPr="00C0338D">
              <w:t>Conservación</w:t>
            </w:r>
            <w:proofErr w:type="spellEnd"/>
            <w:r w:rsidRPr="00C0338D">
              <w:t xml:space="preserve"> de Islas, the goats were eradicated </w:t>
            </w:r>
            <w:r w:rsidRPr="00837161">
              <w:rPr>
                <w:lang w:eastAsia="es-MX"/>
              </w:rPr>
              <w:fldChar w:fldCharType="begin"/>
            </w:r>
            <w:r>
              <w:rPr>
                <w:lang w:eastAsia="es-MX"/>
              </w:rPr>
              <w:instrText xml:space="preserve"> ADDIN ZOTERO_ITEM CSL_CITATION {"citationID":"HUmK7rpB","properties":{"formattedCitation":"(Aguirre-Mu\\uc0\\u241{}oz et al., 2011)","plainCitation":"(Aguirre-Muñoz et al., 2011)","noteIndex":0},"citationItems":[{"id":30081,"uris":["http://zotero.org/groups/2352922/items/BJHLQ7Q6"],"itemData":{"id":30081,"type":"chapter","container-title":"Island invasives: eradication and management: Proceedings of the International Conference on Island Invasives","event-place":"Gland, Switzerland and Auckland, New Zealand","ISBN":"978-2-8317-1291-8","page":"386-394","publisher":"IUCN and The Centre for Biodiversity and Biosecurity (CBB)","publisher-place":"Gland, Switzerland and Auckland, New Zealand","source":"ResearchGate","title":"Eradications of invasive mammals on islands in Mexico: the roles of history and the collaboration between government agencies, local communities and a non-government organisation","title-short":"Eradications of invasive mammals on islands in Mexico","URL":"https://www.academia.edu/50362808/Eradications_of_invasive_mammals_on_islands_in_Mexico_the_roles_of_history_and_the_collaboration_between_government_agencies_local_communities_and_a_non_government_organisation","author":[{"family":"Aguirre-Muñoz","given":"Alfonso"},{"family":"Samaniego-Herrera","given":"Araceli"},{"family":"Luna-Mendoza","given":"Luciana"},{"family":"Ortiz-Alcaraz","given":"Antonio"},{"family":"Rodriguez-Malagón","given":"Marlenne"},{"family":"Félix-Lizárraga","given":"María"},{"family":"Méndez Sánchez","given":"Federico"},{"family":"González-Gómez","given":"Ricardo"},{"family":"Torres-García","given":"F."},{"family":"Hernández-Montoya","given":"J.C."},{"family":"Barredo-Barberena","given":"Jose María"},{"family":"Latofski-Robles","given":"Mariam"}],"editor":[{"family":"Veitch","given":"C R"},{"family":"Clout","given":"M N"},{"family":"Towns","given":"D R"}],"issued":{"date-parts":[["2011",1,1]]}}}],"schema":"https://github.com/citation-style-language/schema/raw/master/csl-citation.json"} </w:instrText>
            </w:r>
            <w:r w:rsidRPr="00837161">
              <w:rPr>
                <w:lang w:eastAsia="es-MX"/>
              </w:rPr>
              <w:fldChar w:fldCharType="separate"/>
            </w:r>
            <w:r w:rsidRPr="00271B78">
              <w:t xml:space="preserve">(Aguirre-Muñoz </w:t>
            </w:r>
            <w:r w:rsidR="00FD691F" w:rsidRPr="00FD691F">
              <w:rPr>
                <w:i/>
              </w:rPr>
              <w:t>et al</w:t>
            </w:r>
            <w:r w:rsidRPr="00271B78">
              <w:t>., 2011)</w:t>
            </w:r>
            <w:r w:rsidRPr="00837161">
              <w:rPr>
                <w:lang w:eastAsia="es-MX"/>
              </w:rPr>
              <w:fldChar w:fldCharType="end"/>
            </w:r>
            <w:r w:rsidRPr="00837161">
              <w:rPr>
                <w:lang w:eastAsia="es-MX"/>
              </w:rPr>
              <w:t>.</w:t>
            </w:r>
          </w:p>
          <w:p w:rsidR="00C7596C" w:rsidRPr="002F2F42" w:rsidRDefault="00C7596C" w:rsidP="004F6786">
            <w:pPr>
              <w:rPr>
                <w:color w:val="000000" w:themeColor="text1"/>
              </w:rPr>
            </w:pPr>
            <w:r w:rsidRPr="00837161">
              <w:rPr>
                <w:lang w:eastAsia="es-MX"/>
              </w:rPr>
              <w:t xml:space="preserve">The eradication of goats took place between 2003 and 2006. Seedlings of endemic trees that were absent in 2003, and species of plants believed extinct, reappeared, </w:t>
            </w:r>
            <w:r w:rsidRPr="00837161">
              <w:rPr>
                <w:lang w:eastAsia="es-MX"/>
              </w:rPr>
              <w:lastRenderedPageBreak/>
              <w:t xml:space="preserve">including species not seen in 100 years. To date, the vegetation has recovered rapidly, both naturally and through active </w:t>
            </w:r>
            <w:r>
              <w:rPr>
                <w:lang w:eastAsia="es-MX"/>
              </w:rPr>
              <w:t xml:space="preserve">ecosystem </w:t>
            </w:r>
            <w:r w:rsidRPr="00837161">
              <w:rPr>
                <w:lang w:eastAsia="es-MX"/>
              </w:rPr>
              <w:t xml:space="preserve">restoration </w:t>
            </w:r>
            <w:r w:rsidRPr="00837161">
              <w:rPr>
                <w:lang w:eastAsia="es-MX"/>
              </w:rPr>
              <w:fldChar w:fldCharType="begin"/>
            </w:r>
            <w:r>
              <w:rPr>
                <w:lang w:eastAsia="es-MX"/>
              </w:rPr>
              <w:instrText xml:space="preserve"> ADDIN ZOTERO_ITEM CSL_CITATION {"citationID":"fIbT3lcv","properties":{"formattedCitation":"(Luna-Mendoza et al., 2019)","plainCitation":"(Luna-Mendoza et al., 2019)","noteIndex":0},"citationItems":[{"id":29647,"uris":["http://zotero.org/groups/2352922/items/BRK9H9JM"],"itemData":{"id":29647,"type":"article-journal","abstract":"As the ﬁrst step towards the ecological restoration of its islands, Mexico has completed 60 eradications of invasive mammals thanks to a strong partnership between Grupo de Ecología y Conservación de Islas, A.C. (GECI), the federal government, local ﬁshing communities, academia, and private donors. The removal of invasive mammals has led to the dramatic recovery of the islands’ ecosystems. On Guadalupe Island, after completing the goat eradication in 2007, the native vegetation started to recover. Plants considered extinct or extirpated have been rediscovered, and plant species new to the island have been recorded. However, in order to achieve the island’s full recovery, the active restoration of degraded soils and vegetation are needed. To date, GECI, in collaboration with the National Forestry Commission (CONAFOR) and the National Commission for Natural Protected Areas (CONANP), is implementing a 700 ha project to accelerate the restoration of the native vegetation communities. The project involves reforestation, erosion control, and ﬁre prevention actions on diﬀerent plant communities: forests and sage scrub. An on-site nursery has been established, seedlings—mostly from endemic trees—are being grown, and on-site reforestation planting has started. Up to June 2018, we have planted almost 40,000 trees, and will produce 160,000 seedlings during this year. Mechanical methods to control and prevent erosion have been used as we have installed more than 2,400 m of contour barriers, 57 m3 of dams, and rehabilitated ﬁrebreaks. The actions will continue: the long-term goal being the comprehensive restoration of the vegetation communities devastated by feral goats. The Guadalupe Island experience will be useful to inform the restoration of other Mexican islands.","container-title":"Island invasives: scaling up to meet the challenge","language":"en","page":"571-575","source":"Zotero","title":"Ten years after feral goat eradication: the active restoration of plant communities on Guadalupe Island, Mexico","volume":"62","author":[{"family":"Luna-Mendoza","given":"L"},{"family":"Aguirre-Muñoz","given":"A"},{"family":"Hernández-Montoya","given":"J C"},{"family":"Torres-Aguilar","given":"M"},{"family":"García-Carreón","given":"J S"},{"family":"Puebla-Hernández","given":"O"},{"family":"Luvianos-Colín","given":"S"},{"family":"Cárdenas-Tapia","given":"A"},{"family":"Méndez-Sánchez","given":"F"}],"issued":{"date-parts":[["2019"]]}}}],"schema":"https://github.com/citation-style-language/schema/raw/master/csl-citation.json"} </w:instrText>
            </w:r>
            <w:r w:rsidRPr="00837161">
              <w:rPr>
                <w:lang w:eastAsia="es-MX"/>
              </w:rPr>
              <w:fldChar w:fldCharType="separate"/>
            </w:r>
            <w:r w:rsidRPr="00271B78">
              <w:t xml:space="preserve">(Luna-Mendoza </w:t>
            </w:r>
            <w:r w:rsidR="00FD691F" w:rsidRPr="00FD691F">
              <w:rPr>
                <w:i/>
              </w:rPr>
              <w:t>et al</w:t>
            </w:r>
            <w:r w:rsidRPr="00271B78">
              <w:t>., 2019)</w:t>
            </w:r>
            <w:r w:rsidRPr="00837161">
              <w:rPr>
                <w:lang w:eastAsia="es-MX"/>
              </w:rPr>
              <w:fldChar w:fldCharType="end"/>
            </w:r>
            <w:r w:rsidRPr="00837161">
              <w:rPr>
                <w:lang w:eastAsia="es-MX"/>
              </w:rPr>
              <w:t>.</w:t>
            </w:r>
          </w:p>
        </w:tc>
      </w:tr>
    </w:tbl>
    <w:p w:rsidR="00C8681F" w:rsidRPr="00C7596C" w:rsidRDefault="00FD691F" w:rsidP="00C7596C"/>
    <w:sectPr w:rsidR="00C8681F" w:rsidRPr="00C75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242"/>
    <w:rsid w:val="002603E2"/>
    <w:rsid w:val="003B6242"/>
    <w:rsid w:val="005606C8"/>
    <w:rsid w:val="00785388"/>
    <w:rsid w:val="007B6053"/>
    <w:rsid w:val="00C7596C"/>
    <w:rsid w:val="00F171DB"/>
    <w:rsid w:val="00FD691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7343D0"/>
  <w15:chartTrackingRefBased/>
  <w15:docId w15:val="{03C8693F-96D2-48E3-AF7C-A99D3A068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6242"/>
    <w:pPr>
      <w:spacing w:after="0"/>
    </w:pPr>
    <w:rPr>
      <w:rFonts w:ascii="Times New Roman" w:hAnsi="Times New Roman" w:cs="Times New Roman"/>
      <w:sz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BodyText"/>
    <w:next w:val="BodyText"/>
    <w:uiPriority w:val="4"/>
    <w:qFormat/>
    <w:rsid w:val="003B6242"/>
    <w:pPr>
      <w:keepNext/>
      <w:spacing w:before="240" w:line="240" w:lineRule="auto"/>
    </w:pPr>
    <w:rPr>
      <w:rFonts w:eastAsia="Times New Roman"/>
      <w:b/>
      <w:bCs/>
      <w:szCs w:val="24"/>
      <w:lang w:val="en-AU" w:eastAsia="ja-JP"/>
    </w:rPr>
  </w:style>
  <w:style w:type="paragraph" w:styleId="BodyText">
    <w:name w:val="Body Text"/>
    <w:basedOn w:val="Normal"/>
    <w:link w:val="BodyTextChar"/>
    <w:uiPriority w:val="99"/>
    <w:semiHidden/>
    <w:unhideWhenUsed/>
    <w:rsid w:val="003B6242"/>
    <w:pPr>
      <w:spacing w:after="120"/>
    </w:pPr>
  </w:style>
  <w:style w:type="character" w:customStyle="1" w:styleId="BodyTextChar">
    <w:name w:val="Body Text Char"/>
    <w:basedOn w:val="DefaultParagraphFont"/>
    <w:link w:val="BodyText"/>
    <w:uiPriority w:val="99"/>
    <w:semiHidden/>
    <w:rsid w:val="003B6242"/>
    <w:rPr>
      <w:rFonts w:ascii="Times New Roman" w:hAnsi="Times New Roman" w:cs="Times New Roman"/>
      <w:sz w:val="24"/>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8375</Words>
  <Characters>47740</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nantavisai</dc:creator>
  <cp:keywords/>
  <dc:description/>
  <cp:lastModifiedBy>Tsu Ias</cp:lastModifiedBy>
  <cp:revision>6</cp:revision>
  <dcterms:created xsi:type="dcterms:W3CDTF">2023-06-15T02:55:00Z</dcterms:created>
  <dcterms:modified xsi:type="dcterms:W3CDTF">2024-01-25T08:30:00Z</dcterms:modified>
</cp:coreProperties>
</file>